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DHRV — Inkrafttreten, Außerkrafttreten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Diese Verordnung tritt am 1. August 2019 in Kraft.</w:t>
      </w:r>
    </w:p>
    <w:p>
      <w:r>
        <w:t xml:space="preserve">(2) Abschnitt 5 tritt am 30. September 2021 außer Kraft.</w:t>
      </w:r>
    </w:p>
    <w:p>
      <w:r>
        <w:rPr>
          <w:color w:val="555555"/>
          <w:sz w:val="17"/>
        </w:rPr>
        <w:t xml:space="preserve">Zitiervorschlag: § 33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