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DHRV — Übergangsvorschriften</w:t>
      </w:r>
    </w:p>
    <w:p>
      <w:r>
        <w:rPr>
          <w:color w:val="555555"/>
          <w:sz w:val="18"/>
        </w:rPr>
        <w:t xml:space="preserve">Hämophilieregister-Verordnung</w:t>
      </w:r>
    </w:p>
    <w:p>
      <w:r>
        <w:rPr>
          <w:color w:val="555555"/>
          <w:sz w:val="18"/>
        </w:rPr>
        <w:t xml:space="preserve">Stand: 01.08.2019 (konsolidierte Textfassung, kein amtliches Inkrafttretensdatum)</w:t>
      </w:r>
    </w:p>
    <w:p>
      <w:r>
        <w:t xml:space="preserve">Diese Verordnung gilt auch für die Erhebung von Gebühren für individuell zurechenbare öffentliche Leistungen, die bis zum 31. Juli 2019 bereits beantragt wurden, aber noch nicht vollständig erbracht sind.</w:t>
      </w:r>
    </w:p>
    <w:p>
      <w:r>
        <w:rPr>
          <w:color w:val="555555"/>
          <w:sz w:val="17"/>
        </w:rPr>
        <w:t xml:space="preserve">Zitiervorschlag: § 32 DHRV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https://recht.nulegal.eu/gesetze/DHRV/32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