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DHRV — Grundsätze</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Das Register stellt die Qualität der im Register gespeicherten Daten sicher. Dazu legt das Register die Verfahren verbindlich fest, die für die Qualitätskontrolle und Qualitätssicherung der erhobenen Daten notwendig sind, und überprüft regelmäßig die Umsetzung dieser Verfahren.</w:t>
      </w:r>
    </w:p>
    <w:p>
      <w:r>
        <w:t xml:space="preserve">(2) Die Geschäftsstelle nach § 18 berät die hämophiliebehandelnden ärztlichen Personen zu den Anforderungen an die Qualität der Meldedaten nach § 21 Absatz 1a des Transfusionsgesetzes. Die Vorschriften des Transfusionsgesetzes und des ärztlichen Berufsrechts zur Qualitätssicherung der Anwendung von Blutprodukten in den Einrichtungen der Krankenversorgung einschließlich der Vorschriften zur Dokumentation bleiben unberührt.</w:t>
      </w:r>
    </w:p>
    <w:p>
      <w:r>
        <w:rPr>
          <w:color w:val="555555"/>
          <w:sz w:val="17"/>
        </w:rPr>
        <w:t xml:space="preserve">Zitiervorschlag: § 30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