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DHRV — Nutzungsvereinbarung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Das Paul-Ehrlich-Institut veröffentlicht auf seiner Internetseite die Nutzungsvereinbarung, die nach § 21a Absatz 5 Satz 2 des Transfusionsgesetzes abzuschließen ist. Die Nutzungsvereinbarung muss insbesondere die folgenden Inhalte umfassen:</w:t>
      </w:r>
    </w:p>
    <w:p>
      <w:pPr>
        <w:ind w:left="420"/>
      </w:pPr>
      <w:r>
        <w:t xml:space="preserve">1. die Vertragspartner der Nutzungsvereinbarung, die für die Datenverarbeitung Verantwortlichen sowie die am Forschungsvorhaben beteiligten Mitarbeiterinnen, Mitarbeiter und Dritten unter Offenlegung, inwieweit diese die Daten verarbeiten,</w:t>
      </w:r>
    </w:p>
    <w:p>
      <w:pPr>
        <w:ind w:left="420"/>
      </w:pPr>
      <w:r>
        <w:t xml:space="preserve">2. den Zweck und den Umfang der Datenverarbeitung,</w:t>
      </w:r>
    </w:p>
    <w:p>
      <w:pPr>
        <w:ind w:left="420"/>
      </w:pPr>
      <w:r>
        <w:t xml:space="preserve">3. den Zeitraum, der für die Datenverarbeitung im Rahmen des Forschungsvorhabens voraussichtlich erforderlich ist,</w:t>
      </w:r>
    </w:p>
    <w:p>
      <w:pPr>
        <w:ind w:left="420"/>
      </w:pPr>
      <w:r>
        <w:t xml:space="preserve">4. die Maßnahmen zur sicheren Datenverarbeitung sowie</w:t>
      </w:r>
    </w:p>
    <w:p>
      <w:pPr>
        <w:ind w:left="420"/>
      </w:pPr>
      <w:r>
        <w:t xml:space="preserve">5. die Erklärung, dass die Publikationsgrundsätze des Registers nach § 27 beachtet und eingehalten werden.</w:t>
      </w:r>
    </w:p>
    <w:p>
      <w:r>
        <w:rPr>
          <w:color w:val="555555"/>
          <w:sz w:val="17"/>
        </w:rPr>
        <w:t xml:space="preserve">Zitiervorschlag: § 26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