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 DHRV — Datenverarbeitung durch hämophiliebehandelnde ärztliche Personen</w:t>
      </w:r>
    </w:p>
    <w:p>
      <w:r>
        <w:rPr>
          <w:color w:val="555555"/>
          <w:sz w:val="18"/>
        </w:rPr>
        <w:t xml:space="preserve">Hämophilieregister-Verordnung</w:t>
      </w:r>
    </w:p>
    <w:p>
      <w:r>
        <w:rPr>
          <w:color w:val="555555"/>
          <w:sz w:val="18"/>
        </w:rPr>
        <w:t xml:space="preserve">Stand: 16.08.2019 (konsolidierte Textfassung, kein amtliches Inkrafttretensdatum)</w:t>
      </w:r>
    </w:p>
    <w:p>
      <w:r>
        <w:t xml:space="preserve">Zu Zwecken der Verbesserung der Patientenversorgung übermittelt die Geschäftsstelle einer hämophiliebehandelnden ärztlichen Person auf deren schriftliche oder elektronische Anfrage</w:t>
      </w:r>
    </w:p>
    <w:p>
      <w:pPr>
        <w:ind w:left="420"/>
      </w:pPr>
      <w:r>
        <w:t xml:space="preserve">1. die von dieser hämophiliebehandelnden ärztlichen Person nach § 21 Absatz 1a Satz 2 Nummer 2 des Transfusionsgesetzes übermittelten pseudonymisierten Patienten- und Behandlungsdaten,</w:t>
      </w:r>
    </w:p>
    <w:p>
      <w:pPr>
        <w:ind w:left="420"/>
      </w:pPr>
      <w:r>
        <w:t xml:space="preserve">2. Auswertungsergebnisse der von dieser hämophiliebehandelnden ärztlichen Person nach § 21 Absatz 1a Satz 2 Nummer 2 des Transfusionsgesetzes übermittelten pseudonymisierten Patienten- und Behandlungsdaten oder</w:t>
      </w:r>
    </w:p>
    <w:p>
      <w:pPr>
        <w:ind w:left="420"/>
      </w:pPr>
      <w:r>
        <w:t xml:space="preserve">3. anonymisierte Auswertungsergebnisse der im Register enthaltenen Patienten- und Behandlungsdaten.</w:t>
      </w:r>
    </w:p>
    <w:p>
      <w:r>
        <w:rPr>
          <w:color w:val="555555"/>
          <w:sz w:val="17"/>
        </w:rPr>
        <w:t xml:space="preserve">Zitiervorschlag: § 24 DHRV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https://recht.nulegal.eu/gesetze/DHRV/24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