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DHRV — Datenverarbeitung durch den Lenkungsausschuss</w:t>
      </w:r>
    </w:p>
    <w:p>
      <w:r>
        <w:rPr>
          <w:color w:val="555555"/>
          <w:sz w:val="18"/>
        </w:rPr>
        <w:t xml:space="preserve">Hämophilieregister-Verordnung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Die Geschäftsstelle übermittelt den Mitgliedern des Lenkungsausschusses die Daten, die im Register nach § 21a Absatz 3 Satz 1 Nummer 2 und 3 Buchstabe b des Transfusionsgesetzes und § 2 Absatz 4 Satz 2 Nummer 3 und 4 der Transfusionsgesetz-Meldeverordnung gespeichert sind, anonymisiert in dem Umfang, der zur Erfüllung der Aufgaben des Lenkungsausschusses nach § 1 Absatz 1 Satz 2 erforderlich ist.</w:t>
      </w:r>
    </w:p>
    <w:p>
      <w:r>
        <w:t xml:space="preserve">(2) Vor der Übermittlung der Daten hat der Lenkungsausschuss durch Beschluss festzulegen, welche Daten er für welche Aufgaben benötigt.</w:t>
      </w:r>
    </w:p>
    <w:p>
      <w:r>
        <w:rPr>
          <w:color w:val="555555"/>
          <w:sz w:val="17"/>
        </w:rPr>
        <w:t xml:space="preserve">Zitiervorschlag: § 23 DHRV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https://recht.nulegal.eu/gesetze/DHRV/23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