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 DHRV — Datenverarbeitung durch die Geschäftsstelle</w:t>
      </w:r>
    </w:p>
    <w:p>
      <w:r>
        <w:rPr>
          <w:color w:val="555555"/>
          <w:sz w:val="18"/>
        </w:rPr>
        <w:t xml:space="preserve">Hämophilieregister-Verordnung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Die Geschäftsstelle nach § 18 verarbeitet die Daten nach § 21a Absatz 3 des Transfusionsgesetzes und § 2 Absatz 4 der Transfusionsgesetz-Meldeverordnung zur Erfüllung ihrer Aufgaben nach dieser Verordnung.</w:t>
      </w:r>
    </w:p>
    <w:p>
      <w:r>
        <w:rPr>
          <w:color w:val="555555"/>
          <w:sz w:val="17"/>
        </w:rPr>
        <w:t xml:space="preserve">Zitiervorschlag: § 22 DHRV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https://recht.nulegal.eu/gesetze/DHRV/22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