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DHRV — Grundsätze</w:t>
      </w:r>
    </w:p>
    <w:p>
      <w:r>
        <w:rPr>
          <w:color w:val="555555"/>
          <w:sz w:val="18"/>
        </w:rPr>
        <w:t xml:space="preserve">Hämophilieregister-Verordnung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Das Register verarbeitet die bei ihm gespeicherten Daten nach Maßgabe der §§ 22 bis 25.</w:t>
      </w:r>
    </w:p>
    <w:p>
      <w:r>
        <w:t xml:space="preserve">(2) Die vom Register nach den §§ 23 bis 25 übermittelten Daten dürfen nur für die in den §§ 23 und 24 angegebenen Zwecke sowie für die nach § 25 beantragten und genehmigten Zwecke verarbeitet werden. Sie dürfen nicht mit anderen Daten so zusammengeführt werden, dass eine Reidentifizierung von Patientinnen oder Patienten ermöglicht wird.</w:t>
      </w:r>
    </w:p>
    <w:p>
      <w:r>
        <w:t xml:space="preserve">(3) Das Register übermittelt nur anonymisierte Daten.</w:t>
      </w:r>
    </w:p>
    <w:p>
      <w:r>
        <w:t xml:space="preserve">(4) Abschnitt 4 lässt die Datenverarbeitung des Paul-Ehrlich-Instituts aufgrund gesetzlicher Vorschriften, insbesondere nach dem Transfusionsgesetz und dem Arzneimittelgesetz, unberührt.</w:t>
      </w:r>
    </w:p>
    <w:p>
      <w:r>
        <w:rPr>
          <w:color w:val="555555"/>
          <w:sz w:val="17"/>
        </w:rPr>
        <w:t xml:space="preserve">Zitiervorschlag: § 20 DHRV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https://recht.nulegal.eu/gesetze/DHRV/20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