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DHRV — Mitglieder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Das Bundesministerium für Gesundheit beruft die Mitglieder des Lenkungsausschusses. Die Berufung der Mitglieder soll einheitlich alle vier Jahre erfolgen. Wiederholte Berufungen sind zulässig. Die Berufung erfolgt schriftlich.</w:t>
      </w:r>
    </w:p>
    <w:p>
      <w:r>
        <w:t xml:space="preserve">(2) Die Berufung erfolgt auf Vorschlag der nach § 21a Absatz 1 Satz 1 des Transfusionsgesetzes am Register Beteiligten. Die am Register Beteiligten schlagen zur Berufung jeweils zwei Mitglieder vor. Der Lenkungsausschuss besteht aus acht Mitgliedern einschließlich des Vorsitzes.</w:t>
      </w:r>
    </w:p>
    <w:p>
      <w:r>
        <w:t xml:space="preserve">(3) Die Mitgliedschaft beginnt mit dem Tag der ersten Sitzung des Lenkungsausschusses nach der Berufung und endet am Tag vor der ersten Sitzung des neu berufenen Lenkungsausschusses.</w:t>
      </w:r>
    </w:p>
    <w:p>
      <w:r>
        <w:t xml:space="preserve">(4) Mitglieder können ihre Mitgliedschaft jederzeit beenden. Die Beendigung der Mitgliedschaft ist schriftlich gegenüber dem Bundesministerium für Gesundheit zu erklären.</w:t>
      </w:r>
    </w:p>
    <w:p>
      <w:r>
        <w:t xml:space="preserve">(5) Das Bundesministerium für Gesundheit kann Mitglieder abberufen, wenn sie gegen ihre Verpflichtung zur Verschwiegenheit nach § 5 verstoßen haben oder sie ihren Aufgaben und Pflichten dauerhaft nicht nachkommen.</w:t>
      </w:r>
    </w:p>
    <w:p>
      <w:r>
        <w:t xml:space="preserve">(6) Scheidet ein Mitglied vorzeitig aus, so wird für den Rest der jeweiligen Mitgliedschaft ein nachfolgendes Mitglied berufen. Absatz 2 Satz 1 gilt entsprechend.</w:t>
      </w:r>
    </w:p>
    <w:p>
      <w:r>
        <w:rPr>
          <w:color w:val="555555"/>
          <w:sz w:val="17"/>
        </w:rPr>
        <w:t xml:space="preserve">Zitiervorschlag: § 2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