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DHRV — Sachverständige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Der Fachausschuss kann durch Beschluss mit Zustimmung der Geschäftsstelle nach § 18 zur Vorbereitung von Entscheidungen Sachverständige hinzuziehen.</w:t>
      </w:r>
    </w:p>
    <w:p>
      <w:r>
        <w:t xml:space="preserve">(2) Arbeitsgruppen können mit Zustimmung der Geschäftsstelle Sachverständige hinzuziehen.</w:t>
      </w:r>
    </w:p>
    <w:p>
      <w:r>
        <w:t xml:space="preserve">(3) Die Sachverständigen geben ihre Stellungnahmen nach Bedarf oder je nach Vereinbarung schriftlich oder mündlich ab. Sie sollen ihre Stellungnahme begründen.</w:t>
      </w:r>
    </w:p>
    <w:p>
      <w:r>
        <w:t xml:space="preserve">(4) Für Sachverständige gelten die Vorschriften zur ehrenamtlichen Tätigkeit und zu der notwendigen Zustimmung für Reisen nach § 3 und die Vorschriften zur Vertraulichkeit nach § 5 entsprechend.</w:t>
      </w:r>
    </w:p>
    <w:p>
      <w:r>
        <w:rPr>
          <w:color w:val="555555"/>
          <w:sz w:val="17"/>
        </w:rPr>
        <w:t xml:space="preserve">Zitiervorschlag: § 17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