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DHRV — Arbeitsgruppen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Fachausschuss kann durch Beschluss zur Vorbereitung von Entscheidungen aus dem Kreis seiner Mitglieder und stellvertretenden Mitglieder mit Zustimmung der Geschäftsstelle nach § 18 zeitlich befristete Arbeitsgruppen mit einem bestimmten Mandat bilden.</w:t>
      </w:r>
    </w:p>
    <w:p>
      <w:r>
        <w:t xml:space="preserve">(2) Der Fachausschuss bestimmt in dem Beschluss eine Sprecherin oder einen Sprecher, die oder der die Arbeitsgruppe vor dem Fachausschuss und dem Lenkungsausschuss vertritt.</w:t>
      </w:r>
    </w:p>
    <w:p>
      <w:r>
        <w:t xml:space="preserve">(3) Die Arbeitsgruppe berichtet dem Fachausschuss und legt ihm mit Ablauf des Mandats einen Abschlussbericht vor.</w:t>
      </w:r>
    </w:p>
    <w:p>
      <w:r>
        <w:rPr>
          <w:color w:val="555555"/>
          <w:sz w:val="17"/>
        </w:rPr>
        <w:t xml:space="preserve">Zitiervorschlag: § 16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