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DHRV — Aufgaben des Fachausschusses, Vorsitz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Das Paul-Ehrlich-Institut richtet für das Register einen Fachausschuss ein. Der Fachausschuss berät den Lenkungsausschuss zu fachlichen Fragen im Hinblick auf die Aufgaben des Registers nach § 21a Absatz 1 Satz 2 des Transfusionsgesetzes.</w:t>
      </w:r>
    </w:p>
    <w:p>
      <w:r>
        <w:t xml:space="preserve">(2) Der Vorsitz des Fachausschusses obliegt der Geschäftsstelle.</w:t>
      </w:r>
    </w:p>
    <w:p>
      <w:r>
        <w:rPr>
          <w:color w:val="555555"/>
          <w:sz w:val="17"/>
        </w:rPr>
        <w:t xml:space="preserve">Zitiervorschlag: § 11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