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DHRV — Aufgaben des Lenkungsausschusses, Rechts- und Fachaufsicht</w:t>
      </w:r>
    </w:p>
    <w:p>
      <w:r>
        <w:rPr>
          <w:color w:val="555555"/>
          <w:sz w:val="18"/>
        </w:rPr>
        <w:t xml:space="preserve">Hämophilieregister-Verordnung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(1) Das Paul-Ehrlich-Institut richtet für das Deutsche Hämophilieregister (Register) einen Lenkungsausschuss ein. Der Lenkungsausschuss berät und beschließt über alle Fragen, die für das Register aufgrund dessen Aufgaben nach § 21a Absatz 1 Satz 2 des Transfusionsgesetzes maßgeblich sind.</w:t>
      </w:r>
    </w:p>
    <w:p>
      <w:r>
        <w:t xml:space="preserve">(2) Die Mitglieder des Lenkungsausschusses tragen zur Erfüllung der Aufgaben des Registers bei, indem sie insbesondere folgende Bereiche berücksichtigen:</w:t>
      </w:r>
    </w:p>
    <w:p>
      <w:pPr>
        <w:ind w:left="420"/>
      </w:pPr>
      <w:r>
        <w:t xml:space="preserve">1. die organisatorische und technische Ausgestaltung und Weiterentwicklung des Registers,</w:t>
      </w:r>
    </w:p>
    <w:p>
      <w:pPr>
        <w:ind w:left="420"/>
      </w:pPr>
      <w:r>
        <w:t xml:space="preserve">2. die klinische und wissenschaftliche Ausgestaltung und Weiterentwicklung des Registers und</w:t>
      </w:r>
    </w:p>
    <w:p>
      <w:pPr>
        <w:ind w:left="420"/>
      </w:pPr>
      <w:r>
        <w:t xml:space="preserve">3. das Interesse der Patienten an einer qualitätsgesicherten Therapie.</w:t>
      </w:r>
    </w:p>
    <w:p>
      <w:r>
        <w:t xml:space="preserve">(3) Die Rechts- und Fachaufsicht über den Lenkungsausschuss bei der Wahrnehmung der Aufgaben nach den Absätzen 1 und 2 führt das Bundesministerium für Gesundheit.</w:t>
      </w:r>
    </w:p>
    <w:p>
      <w:r>
        <w:rPr>
          <w:color w:val="555555"/>
          <w:sz w:val="17"/>
        </w:rPr>
        <w:t xml:space="preserve">Zitiervorschlag: § 1 DHRV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