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DHPolG (Nordrhein-Westfalen) — Gründungsmaßnahmen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Kuratorium trifft die für den Aufbau der Hochschule notwendigen Maßnahmen.</w:t>
      </w:r>
    </w:p>
    <w:p>
      <w:r>
        <w:t xml:space="preserve">Es ist insbesondere befugt:</w:t>
      </w:r>
    </w:p>
    <w:p>
      <w:r>
        <w:t xml:space="preserve">1. einen Gründungssenat zu berufen,</w:t>
      </w:r>
    </w:p>
    <w:p>
      <w:r>
        <w:t xml:space="preserve">2. eine Gründungspräsidentin oder einen Gründungspräsidenten zur Ernennung oder Bestellung vorzuschlagen,</w:t>
      </w:r>
    </w:p>
    <w:p>
      <w:r>
        <w:t xml:space="preserve">3. eine Grundordnung und eine Wahlordnung zu erlassen.</w:t>
      </w:r>
    </w:p>
    <w:p>
      <w:r>
        <w:rPr>
          <w:color w:val="555555"/>
          <w:sz w:val="17"/>
        </w:rPr>
        <w:t xml:space="preserve">Zitiervorschlag: § 42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