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DHPolG (Nordrhein-Westfalen) — Errichtung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In-Kraft-Treten des Gesetzes wird die Deutsche Hochschule der Polizei mit Sitz in Münster errichtet.</w:t>
      </w:r>
    </w:p>
    <w:p>
      <w:r>
        <w:t xml:space="preserve">(2) In die Hochschule wird die bisherige Polizei-Führungsakademie übergeleitet.</w:t>
      </w:r>
    </w:p>
    <w:p>
      <w:r>
        <w:t xml:space="preserve">(3) Während der Gründungsphase gelten die Vorschriften dieses Gesetzes, soweit nachstehend nichts anderes bestimmt ist.</w:t>
      </w:r>
    </w:p>
    <w:p>
      <w:r>
        <w:rPr>
          <w:color w:val="555555"/>
          <w:sz w:val="17"/>
        </w:rPr>
        <w:t xml:space="preserve">Zitiervorschlag: § 40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