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DHPolG (Nordrhein-Westfalen) — Ehrungen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kann auf Beschluss des Senats mit Zustimmung des Kuratoriums Persönlichkeiten, die sich besondere Verdienste um die Hochschule erworben haben, die Bezeichnung „Ehrensenatorin“ oder „Ehrensenator“ oder die Hochschulmedaille verleihen.</w:t>
      </w:r>
    </w:p>
    <w:p>
      <w:r>
        <w:t xml:space="preserve">(2) Der Beschluss bedarf der Zustimmung von vier Fünfteln der stimmberechtigten Senatsmitglieder.</w:t>
      </w:r>
    </w:p>
    <w:p>
      <w:r>
        <w:t xml:space="preserve">Neunter Abschnitt</w:t>
      </w:r>
    </w:p>
    <w:p>
      <w:r>
        <w:t xml:space="preserve">Errichtung und Gründungsphase</w:t>
      </w:r>
    </w:p>
    <w:p>
      <w:r>
        <w:rPr>
          <w:color w:val="555555"/>
          <w:sz w:val="17"/>
        </w:rPr>
        <w:t xml:space="preserve">Zitiervorschlag: § 39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