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DHPolG (Nordrhein-Westfalen) — Genehmigungen</w:t>
      </w:r>
    </w:p>
    <w:p>
      <w:r>
        <w:rPr>
          <w:color w:val="555555"/>
          <w:sz w:val="18"/>
        </w:rPr>
        <w:t xml:space="preserve">Polizeihochschulgesetz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Erlass, die Änderung und die Aufhebung der Grundordnung, der Satzungen und Ordnungen sowie der Studienordnungen und Studienpläne bedürfen der Genehmigung des Kuratoriums.</w:t>
      </w:r>
    </w:p>
    <w:p>
      <w:r>
        <w:t xml:space="preserve">(2) Die Genehmigung ist zu versagen, wenn die Regelung gegen Rechtsvorschriften verstößt. Sie kann versagt werden, wenn durch die Regelung die Erfüllung der der Hochschule übertragenen Aufgaben gefährdet wird.</w:t>
      </w:r>
    </w:p>
    <w:p>
      <w:r>
        <w:rPr>
          <w:color w:val="555555"/>
          <w:sz w:val="17"/>
        </w:rPr>
        <w:t xml:space="preserve">Zitiervorschlag: § 36 DHPolG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https://recht.nulegal.eu/gesetze/DHPolG/36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