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DHPolG (Nordrhein-Westfalen) — Einstellungsvoraussetzungen für Professorinnen und Professoren</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Einstellungsvoraussetzungen für Professorinnen und Professoren sind neben den allgemeinen dienstrechtlichen Voraussetzungen:</w:t>
      </w:r>
    </w:p>
    <w:p>
      <w:r>
        <w:t xml:space="preserve">1. ein abgeschlossenes Hochschulstudium,</w:t>
      </w:r>
    </w:p>
    <w:p>
      <w:r>
        <w:t xml:space="preserve">2. pädagogische Eignung, die durch Erfahrung in einer vorausgegangenen Lehr- oder Ausbildungstätigkeit nachgewiesen oder bei Fehlen dieser Voraussetzung ausnahmsweise im Berufungsverfahren festgestellt wird; zur Feststellung der pädagogischen Eignung können Professorinnen und Professoren auch in ein Beamtenverhältnis auf Probe berufen werden,</w:t>
      </w:r>
    </w:p>
    <w:p>
      <w:r>
        <w:t xml:space="preserve">3. besondere Befähigung zu wissenschaftlicher Arbeit, die in der Regel durch die Qualität einer Promotion nachgewiesen wird,</w:t>
      </w:r>
    </w:p>
    <w:p>
      <w:r>
        <w:t xml:space="preserve">4. darüber hinaus je nach den Anforderungen der Stelle</w:t>
      </w:r>
    </w:p>
    <w:p>
      <w:r>
        <w:t xml:space="preserve">a) zusätzliche wissenschaftliche Leistungen, die durch eine Habilitation oder durch gleichwertige wissenschaftliche Leistungen, welche auch in einer Tätigkeit außerhalb des Hochschulbereichs erbracht sein können, nachgewiesen werden, oder</w:t>
      </w:r>
    </w:p>
    <w:p>
      <w:r>
        <w:t xml:space="preserve">b) besondere Leistungen bei der Anwendung oder Entwicklung wissenschaftlicher Erkenntnisse und Methoden, die während einer fünfjährigen berufspraktischen Tätigkeit, von denen mindestens drei Jahre außerhalb des Hochschulbereichs ausgeübt worden sein müssen, auf einem Gebiet erbracht wurden, das dem zu vertretenden Fach entspricht.</w:t>
      </w:r>
    </w:p>
    <w:p>
      <w:r>
        <w:t xml:space="preserve">(2) Soweit es der Eigenart des Faches und den Anforderungen der Stelle entspricht, kann abweichend von Absatz 1 Nrn. 1, 3 und 4 auch eingestellt werden, wer hervorragende fachbezogene Leistungen in der Praxis nachweist.</w:t>
      </w:r>
    </w:p>
    <w:p>
      <w:r>
        <w:rPr>
          <w:color w:val="555555"/>
          <w:sz w:val="17"/>
        </w:rPr>
        <w:t xml:space="preserve">Zitiervorschlag: § 19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