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DHMG — Satzung</w:t>
      </w:r>
    </w:p>
    <w:p>
      <w:r>
        <w:rPr>
          <w:color w:val="555555"/>
          <w:sz w:val="18"/>
        </w:rPr>
        <w:t xml:space="preserve">Gesetz zur Errichtung einer Stiftung „Deutsches Historisches Museum“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gibt sich eine Satzung, die von ihrem Kuratorium beschlossen wird und der Genehmigung durch die Rechtsaufsicht bedarf. Das Gleiche gilt für Änderungen der Satzung.</w:t>
      </w:r>
    </w:p>
    <w:p>
      <w:r>
        <w:rPr>
          <w:color w:val="555555"/>
          <w:sz w:val="17"/>
        </w:rPr>
        <w:t xml:space="preserve">Zitiervorschlag: § 4 DHMG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https://recht.nulegal.eu/gesetze/DHMG/4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