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DHMG — Stiftungszweck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der Stiftung ist es, die gesamte deutsche Geschichte in ihrem europäischen Zusammenhang darzustellen.</w:t>
      </w:r>
    </w:p>
    <w:p>
      <w:r>
        <w:t xml:space="preserve">(2) Der Erfüllung dieses Zweckes dienen insbesondere:</w:t>
      </w:r>
    </w:p>
    <w:p>
      <w:pPr>
        <w:ind w:left="420"/>
      </w:pPr>
      <w:r>
        <w:t xml:space="preserve">1. Einrichtung, Unterhaltung und Weiterentwicklung einer ständigen Ausstellung;</w:t>
      </w:r>
    </w:p>
    <w:p>
      <w:pPr>
        <w:ind w:left="420"/>
      </w:pPr>
      <w:r>
        <w:t xml:space="preserve">2. Erwerb von Realien zur deutschen Geschichte sowie deren Inventarisierung, Dokumentation und erforderlichenfalls Restaurierung;</w:t>
      </w:r>
    </w:p>
    <w:p>
      <w:pPr>
        <w:ind w:left="420"/>
      </w:pPr>
      <w:r>
        <w:t xml:space="preserve">3. Wechselausstellungen, museumspädagogische Vermittlung, Vorträge, Seminare, Filmvorführungen und sonstige Veranstaltungen;</w:t>
      </w:r>
    </w:p>
    <w:p>
      <w:pPr>
        <w:ind w:left="420"/>
      </w:pPr>
      <w:r>
        <w:t xml:space="preserve">4. Unterhaltung einer Bibliothek und einer Mediathek;</w:t>
      </w:r>
    </w:p>
    <w:p>
      <w:pPr>
        <w:ind w:left="420"/>
      </w:pPr>
      <w:r>
        <w:t xml:space="preserve">5. Forschung und Veröffentlichungen;</w:t>
      </w:r>
    </w:p>
    <w:p>
      <w:pPr>
        <w:ind w:left="420"/>
      </w:pPr>
      <w:r>
        <w:t xml:space="preserve">6. Zusammenarbeit mit deutschen und internationalen Museen und sonstigen Einrichtungen mit fachlichem Bezug.</w:t>
      </w:r>
    </w:p>
    <w:p>
      <w:r>
        <w:rPr>
          <w:color w:val="555555"/>
          <w:sz w:val="17"/>
        </w:rPr>
        <w:t xml:space="preserve">Zitiervorschlag: § 2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