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DHMG — Gremien und Leitung der unselbständigen Stiftung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unselbständigen Stiftung werden gebildet</w:t>
      </w:r>
    </w:p>
    <w:p>
      <w:pPr>
        <w:ind w:left="420"/>
      </w:pPr>
      <w:r>
        <w:t xml:space="preserve">1. der Stiftungsrat,</w:t>
      </w:r>
    </w:p>
    <w:p>
      <w:pPr>
        <w:ind w:left="420"/>
      </w:pPr>
      <w:r>
        <w:t xml:space="preserve">2. der wissenschaftliche Beraterkreis.</w:t>
      </w:r>
    </w:p>
    <w:p>
      <w:r>
        <w:t xml:space="preserve">Die Mitglieder des Stiftungsrates und des wissenschaftlichen Beraterkreises sind ehrenamtlich tätig.</w:t>
      </w:r>
    </w:p>
    <w:p>
      <w:r>
        <w:t xml:space="preserve">(2) Die unselbständige Stiftung hat eine Direktorin oder einen Direktor.</w:t>
      </w:r>
    </w:p>
    <w:p>
      <w:r>
        <w:rPr>
          <w:color w:val="555555"/>
          <w:sz w:val="17"/>
        </w:rPr>
        <w:t xml:space="preserve">Zitiervorschlag: § 18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