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DHMG — Name, Sitz, Rechtsform und Trägerschaft der Stiftung</w:t>
      </w:r>
    </w:p>
    <w:p>
      <w:r>
        <w:rPr>
          <w:color w:val="555555"/>
          <w:sz w:val="18"/>
        </w:rPr>
        <w:t xml:space="preserve">Gesetz zur Errichtung einer Stiftung „Deutsches Historisches Museum“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Unter dem Namen „Deutsches Historisches Museum“ wird eine rechtsfähige bundesunmittelbare Stiftung des öffentlichen Rechts mit Sitz in Berlin errichtet. Die Stiftung entsteht mit dem Inkrafttreten dieses Gesetzes.</w:t>
      </w:r>
    </w:p>
    <w:p>
      <w:r>
        <w:t xml:space="preserve">(2) Die Stiftung ist Träger der unselbständigen Stiftung „Stiftung Flucht, Vertreibung, Versöhnung“ (§ 15).</w:t>
      </w:r>
    </w:p>
    <w:p>
      <w:r>
        <w:rPr>
          <w:color w:val="555555"/>
          <w:sz w:val="17"/>
        </w:rPr>
        <w:t xml:space="preserve">Zitiervorschlag: § 1 DHMG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https://recht.nulegal.eu/gesetze/DHMG/1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