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DGWoG (Sachsen) — Einreichung der Anträge</w:t>
      </w:r>
    </w:p>
    <w:p>
      <w:r>
        <w:rPr>
          <w:color w:val="555555"/>
          <w:sz w:val="18"/>
        </w:rPr>
        <w:t xml:space="preserve">Gesetz zur Durchführung des Wohngeldverfahrens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nach § 1 die Landratsämter zuständig sind, können die Anträge auf Wohngeld über die Gemeindeverwaltung eingereicht werden.</w:t>
      </w:r>
    </w:p>
    <w:p>
      <w:r>
        <w:rPr>
          <w:color w:val="555555"/>
          <w:sz w:val="17"/>
        </w:rPr>
        <w:t xml:space="preserve">Zitiervorschlag: § 2 DGWoG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https://recht.nulegal.eu/gesetze/DGWoG/2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