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DGG — Elektronische Kommunikation</w:t>
      </w:r>
    </w:p>
    <w:p>
      <w:r>
        <w:rPr>
          <w:color w:val="555555"/>
          <w:sz w:val="18"/>
        </w:rPr>
        <w:t xml:space="preserve">Daten-Governance-Gesetz</w:t>
      </w:r>
    </w:p>
    <w:p>
      <w:r>
        <w:rPr>
          <w:color w:val="555555"/>
          <w:sz w:val="18"/>
        </w:rPr>
        <w:t xml:space="preserve">Stand: 19.05.2026 (konsolidierte Textfassung, kein amtliches Inkrafttretensdatum)</w:t>
      </w:r>
    </w:p>
    <w:p>
      <w:r>
        <w:t xml:space="preserve">(1) Soweit der Daten-Governance-Rechtsakt oder dieses Gesetz natürliche oder juristische Personen verpflichten, Erklärungen, Informationen und Dokumente an die Bundesnetzagentur zu übermitteln, soll die Übermittlung elektronisch erfolgen, es sei denn, durch Rechtsvorschrift ist etwas anderes bestimmt. Zu diesem Zweck stellt die Bundesnetzagentur entsprechende elektronische Verfahren zur Verfügung, die eine sichere Übermittlung und Nutzung der Informationen sicherstellt. Die Bundesnetzagentur gewährleistet insbesondere den Schutz personenbezogener Daten und den Schutz von Betriebs- und Geschäftsgeheimnissen.</w:t>
      </w:r>
    </w:p>
    <w:p>
      <w:r>
        <w:t xml:space="preserve">(2) Soweit die Bundesnetzagentur auf Grundlage des Daten-Governance-Rechtsakts oder dieses Gesetzes mit natürlichen oder juristischen Personen in Kontakt tritt, soll dies elektronisch erfolgen, es sei denn, durch Rechtsvorschrift ist etwas anderes bestimmt.</w:t>
      </w:r>
    </w:p>
    <w:p>
      <w:r>
        <w:rPr>
          <w:color w:val="555555"/>
          <w:sz w:val="17"/>
        </w:rPr>
        <w:t xml:space="preserve">Zitiervorschlag: § 9 DGG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https://recht.nulegal.eu/gesetze/DGG/9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