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DGG — Gebührenerhebung; Verordnungsermächtigung</w:t>
      </w:r>
    </w:p>
    <w:p>
      <w:r>
        <w:rPr>
          <w:color w:val="555555"/>
          <w:sz w:val="18"/>
        </w:rPr>
        <w:t xml:space="preserve">Daten-Governance-Gesetz</w:t>
      </w:r>
    </w:p>
    <w:p>
      <w:r>
        <w:rPr>
          <w:color w:val="555555"/>
          <w:sz w:val="18"/>
        </w:rPr>
        <w:t xml:space="preserve">Stand: 19.05.2026 (konsolidierte Textfassung, kein amtliches Inkrafttretensdatum)</w:t>
      </w:r>
    </w:p>
    <w:p>
      <w:r>
        <w:t xml:space="preserve">(1) Für individuell zurechenbare öffentliche Leistungen nach Artikel 6 Absatz 1 und Artikel 11 Absatz 11 des Daten-Governance-Rechtsakts werden Gebühren erhoben.</w:t>
      </w:r>
    </w:p>
    <w:p>
      <w:r>
        <w:t xml:space="preserve">(2) Das Bundesministerium für Digitales und Staatsmodernisierung kann hierzu Rechtsverordnungen nach § 22 Absatz 4 des Bundesgebührengesetzes erlassen.</w:t>
      </w:r>
    </w:p>
    <w:p>
      <w:r>
        <w:t xml:space="preserve">(3) Absatz 1 findet keine Anwendung, soweit das Recht der Europäischen Union die Erhebung von Gebühren oder Auslagen für bestimmte Leistungen ausschließt.</w:t>
      </w:r>
    </w:p>
    <w:p>
      <w:r>
        <w:t xml:space="preserve">(4) Die Erhebung von Gebühren nach Absatz 1 durch öffentliche Stellen der Länder wird durch Landesrecht geregelt.</w:t>
      </w:r>
    </w:p>
    <w:p>
      <w:r>
        <w:rPr>
          <w:color w:val="555555"/>
          <w:sz w:val="17"/>
        </w:rPr>
        <w:t xml:space="preserve">Zitiervorschlag: § 6 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