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DGG — Informationspflicht der Bundesnetzagentur</w:t>
      </w:r>
    </w:p>
    <w:p>
      <w:r>
        <w:rPr>
          <w:color w:val="555555"/>
          <w:sz w:val="18"/>
        </w:rPr>
        <w:t xml:space="preserve">Daten-Governance-Gesetz</w:t>
      </w:r>
    </w:p>
    <w:p>
      <w:r>
        <w:rPr>
          <w:color w:val="555555"/>
          <w:sz w:val="18"/>
        </w:rPr>
        <w:t xml:space="preserve">Stand: 19.05.2026 (konsolidierte Textfassung, kein amtliches Inkrafttretensdatum)</w:t>
      </w:r>
    </w:p>
    <w:p>
      <w:r>
        <w:t xml:space="preserve">Die Bundesnetzagentur übermittelt der Europäischen Kommission auf deren Ersuchen alle zur Ausarbeitung des Berichts nach Artikel 35 des Daten-Governance-Rechtsakts erforderlichen Informationen. Die Bundesnetzagentur leitet die übermittelten Informationen nach Satz 1 dem Bundesministerium für Digitales und Staatsmodernisierung gleichzeitig zur Kenntnis zu.</w:t>
      </w:r>
    </w:p>
    <w:p>
      <w:r>
        <w:rPr>
          <w:color w:val="555555"/>
          <w:sz w:val="17"/>
        </w:rPr>
        <w:t xml:space="preserve">Zitiervorschlag: § 5 DGG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https://recht.nulegal.eu/gesetze/DGG/5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