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DGG — Bußgeldvorschriften</w:t>
      </w:r>
    </w:p>
    <w:p>
      <w:r>
        <w:rPr>
          <w:color w:val="555555"/>
          <w:sz w:val="18"/>
        </w:rPr>
        <w:t xml:space="preserve">Daten-Governance-Gesetz</w:t>
      </w:r>
    </w:p>
    <w:p>
      <w:r>
        <w:rPr>
          <w:color w:val="555555"/>
          <w:sz w:val="18"/>
        </w:rPr>
        <w:t xml:space="preserve">Stand: 19.05.2026 (konsolidierte Textfassung, kein amtliches Inkrafttretensdatum)</w:t>
      </w:r>
    </w:p>
    <w:p>
      <w:r>
        <w:t xml:space="preserve">(1) Ordnungswidrig handelt, wer gegen den Daten-Governance-Rechtsakt in der Fassung vom 30. Mai 2022 verstößt, indem er</w:t>
      </w:r>
    </w:p>
    <w:p>
      <w:pPr>
        <w:ind w:left="420"/>
      </w:pPr>
      <w:r>
        <w:t xml:space="preserve">1. entgegen Artikel 20 Absatz 1 eine Aufzeichnung nicht, nicht richtig oder nicht vollständig führt,</w:t>
      </w:r>
    </w:p>
    <w:p>
      <w:pPr>
        <w:ind w:left="420"/>
      </w:pPr>
      <w:r>
        <w:t xml:space="preserve">2. entgegen Artikel 20 Absatz 2 nach Eintragung in das öffentliche Register einen Tätigkeitsbericht nicht oder nicht jährlich erstellt oder nicht oder nicht jährlich übermittelt,</w:t>
      </w:r>
    </w:p>
    <w:p>
      <w:pPr>
        <w:ind w:left="420"/>
      </w:pPr>
      <w:r>
        <w:t xml:space="preserve">3. entgegen Artikel 21 Absatz 3 ein dort genanntes Werkzeug nicht oder nicht richtig bereitstellt oder</w:t>
      </w:r>
    </w:p>
    <w:p>
      <w:pPr>
        <w:ind w:left="420"/>
      </w:pPr>
      <w:r>
        <w:t xml:space="preserve">4. entgegen Artikel 31 Absatz 3 Daten überträgt oder Zugang gewährt.</w:t>
      </w:r>
    </w:p>
    <w:p>
      <w:r>
        <w:t xml:space="preserve">(2) Ordnungswidrig handelt, wer</w:t>
      </w:r>
    </w:p>
    <w:p>
      <w:pPr>
        <w:ind w:left="420"/>
      </w:pPr>
      <w:r>
        <w:t xml:space="preserve">1. bei einer Anmeldung nach Artikel 11 Absatz 1 des Daten-Governance-Rechtsakts in der Fassung vom 30. Mai 2022 eine in Artikel 11 Absatz 6 des Daten-Governance-Rechtsakts in der Fassung vom 30. Mai 2022 genannte Angabe nicht richtig macht oder</w:t>
      </w:r>
    </w:p>
    <w:p>
      <w:pPr>
        <w:ind w:left="420"/>
      </w:pPr>
      <w:r>
        <w:t xml:space="preserve">2. zu einer allgemeinen Eintragungsanforderung nach Artikel 18 Buchstabe a bis c oder d des Daten-Governance-Rechtsakts in der Fassung vom 30. Mai 2022 in einem Antrag nach Artikel 19 Absatz 1 des Daten-Governance-Rechtsakts in der Fassung vom 30. Mai 2022 eine Angabe nicht richtig macht.</w:t>
      </w:r>
    </w:p>
    <w:p>
      <w:r>
        <w:t xml:space="preserve">(3) Ordnungswidrig handelt, wer gegen den Daten-Governance-Rechtsakt in der Fassung vom 30. Mail 2022 verstößt, indem er vorsätzlich oder fahrlässig</w:t>
      </w:r>
    </w:p>
    <w:p>
      <w:pPr>
        <w:ind w:left="420"/>
      </w:pPr>
      <w:r>
        <w:t xml:space="preserve">1. ohne Anmeldung nach Artikel 11 Absatz 1 einen Datenvermittlungsdienst erbringt,</w:t>
      </w:r>
    </w:p>
    <w:p>
      <w:pPr>
        <w:ind w:left="420"/>
      </w:pPr>
      <w:r>
        <w:t xml:space="preserve">2. entgegen Artikel 11 Absatz 3 Unterabsatz 2 Satz 1 einen gesetzlichen Vertreter nicht oder nicht bei einer Anmeldung nach Artikel 11 Absatz 1 beauftragt,</w:t>
      </w:r>
    </w:p>
    <w:p>
      <w:pPr>
        <w:ind w:left="420"/>
      </w:pPr>
      <w:r>
        <w:t xml:space="preserve">3. entgegen Artikel 11 Absatz 12 oder Artikel 19 Absatz 7 eine Mitteilung nicht, nicht richtig, nicht vollständig oder nicht rechtzeitig macht,</w:t>
      </w:r>
    </w:p>
    <w:p>
      <w:pPr>
        <w:ind w:left="420"/>
      </w:pPr>
      <w:r>
        <w:t xml:space="preserve">4. entgegen Artikel 11 Absatz 13 eine Meldung nicht oder nicht rechtzeitig macht,</w:t>
      </w:r>
    </w:p>
    <w:p>
      <w:pPr>
        <w:ind w:left="420"/>
      </w:pPr>
      <w:r>
        <w:t xml:space="preserve">5. entgegen Artikel 12 Buchstabe a Daten für einen anderen Zweck verwendet oder einen Datenvermittlungsdienst nicht richtig bereitstellt,</w:t>
      </w:r>
    </w:p>
    <w:p>
      <w:pPr>
        <w:ind w:left="420"/>
      </w:pPr>
      <w:r>
        <w:t xml:space="preserve">6. entgegen Artikel 12 Buchstabe c Daten für einen anderen Zweck verwendet oder Daten nicht, nicht vollständig oder nicht rechtzeitig zur Verfügung stellt,</w:t>
      </w:r>
    </w:p>
    <w:p>
      <w:pPr>
        <w:ind w:left="420"/>
      </w:pPr>
      <w:r>
        <w:t xml:space="preserve">7. entgegen Artikel 12 Buchstabe d einen Datenaustausch nicht richtig ermöglicht, Daten umwandelt oder eine Möglichkeit zum Verzicht auf eine Datenumwandlung nicht anbietet,</w:t>
      </w:r>
    </w:p>
    <w:p>
      <w:pPr>
        <w:ind w:left="420"/>
      </w:pPr>
      <w:r>
        <w:t xml:space="preserve">8. entgegen Artikel 12 Buchstabe e zweiter Halbsatz ein Werkzeug verwendet,</w:t>
      </w:r>
    </w:p>
    <w:p>
      <w:pPr>
        <w:ind w:left="420"/>
      </w:pPr>
      <w:r>
        <w:t xml:space="preserve">9. entgegen Artikel 12 Buchstabe h eine dort genannte Weiterführung nicht gewährleistet oder einen dort genannten Mechanismus nicht oder nicht rechtzeitig einrichtet,</w:t>
      </w:r>
    </w:p>
    <w:p>
      <w:pPr>
        <w:ind w:left="420"/>
      </w:pPr>
      <w:r>
        <w:t xml:space="preserve">10. entgegen Artikel 12 Buchstabe i bei Erbringung eines Datenvermittlungsdienstes eine Maßnahme nicht trifft,</w:t>
      </w:r>
    </w:p>
    <w:p>
      <w:pPr>
        <w:ind w:left="420"/>
      </w:pPr>
      <w:r>
        <w:t xml:space="preserve">11. entgegen Artikel 12 Buchstabe j oder Artikel 31 Absatz 1 erster Halbsatz bei Erbringung eines Datenvermittlungsdienstes eine Maßnahme nicht ergreift,</w:t>
      </w:r>
    </w:p>
    <w:p>
      <w:pPr>
        <w:ind w:left="420"/>
      </w:pPr>
      <w:r>
        <w:t xml:space="preserve">12. entgegen Artikel 12 Buchstabe k, Artikel 21 Absatz 5 oder Artikel 31 Absatz 5 einen Dateninhaber nicht oder nicht rechtzeitig unterrichtet,</w:t>
      </w:r>
    </w:p>
    <w:p>
      <w:pPr>
        <w:ind w:left="420"/>
      </w:pPr>
      <w:r>
        <w:t xml:space="preserve">13. entgegen Artikel 12 Buchstabe m zweiter Halbsatz oder Artikel 21 Absatz 1 eine Information nicht, nicht richtig, nicht vollständig oder nicht rechtzeitig gibt,</w:t>
      </w:r>
    </w:p>
    <w:p>
      <w:pPr>
        <w:ind w:left="420"/>
      </w:pPr>
      <w:r>
        <w:t xml:space="preserve">14. entgegen Artikel 12 Buchstabe n eine Angabe nicht, nicht richtig oder nicht rechtzeitig macht,</w:t>
      </w:r>
    </w:p>
    <w:p>
      <w:pPr>
        <w:ind w:left="420"/>
      </w:pPr>
      <w:r>
        <w:t xml:space="preserve">15. entgegen Artikel 12 Buchstabe o ein Protokoll nicht oder nicht richtig führt oder</w:t>
      </w:r>
    </w:p>
    <w:p>
      <w:pPr>
        <w:ind w:left="420"/>
      </w:pPr>
      <w:r>
        <w:t xml:space="preserve">16. entgegen Artikel 21 Absatz 2 Satz 1 Daten für ein anderes Ziel verwendet.</w:t>
      </w:r>
    </w:p>
    <w:p>
      <w:r>
        <w:t xml:space="preserve">(4) Ordnungswidrig handelt, wer vorsätzlich oder fahrlässig</w:t>
      </w:r>
    </w:p>
    <w:p>
      <w:pPr>
        <w:ind w:left="420"/>
      </w:pPr>
      <w:r>
        <w:t xml:space="preserve">1. als Weiterverwender ohne Vertrag nach Artikel 5 Absatz 10 des Daten-Governance-Rechtsakts in der Fassung vom 30. Mai 2022 oder unter Verletzung einer vertraglichen Verpflichtung nach Artikel 5 Absatz 10 des Daten-Governance-Rechtsakts in der Fassung vom 30. Mai 2022 Daten in ein Drittland überträgt, das nicht nach Artikel 5 Absatz 12 Satz 1 des Daten-Governance-Rechtsakts in der Fassung vom 30. Mai 2022 benannt ist,</w:t>
      </w:r>
    </w:p>
    <w:p>
      <w:pPr>
        <w:ind w:left="420"/>
      </w:pPr>
      <w:r>
        <w:t xml:space="preserve">2. die Erbringung eines Datenvermittlungsdienstes nach Artikel 12 Buchstabe b des Daten-Governance-Rechtsakts in der Fassung vom 30. Mai 2022 von der Nutzung eines anderen Dienstes desselben Anbieters oder eines verbundenen Unternehmens abhängig macht oder</w:t>
      </w:r>
    </w:p>
    <w:p>
      <w:pPr>
        <w:ind w:left="420"/>
      </w:pPr>
      <w:r>
        <w:t xml:space="preserve">3. als Anbieter einen Datenvermittlungsdienst erbringt, ohne über ein Verfahren nach Artikel 12 Buchstabe g des Daten-Governance-Rechtsakts in der Fassung vom 30. Mai 2022 zu verfügen.</w:t>
      </w:r>
    </w:p>
    <w:p>
      <w:r>
        <w:t xml:space="preserve">(5) Die Ordnungswidrigkeit kann in den Fällen des Absatzes 1 Nummer 3 und 4, des Absatzes 3 Nummer 2, 5, 6, 11 bis 13 und 16 und des Absatzes 4 Nummer 1 und 3 mit einer Geldbuße bis zu fünfhunderttausend Euro, in den Fällen des Absatzes 1 Nummer 1 und 2, des Absatzes 3 Nummer 1, 7 bis 10 und 15 und des Absatzes 4 Nummer 2 mit einer Geldbuße bis zu fünfzigtausend Euro sowie in den Fällen des Absatzes 2 und in den übrigen Fällen des Absatzes 3 mit einer Geldbuße bis zu zehntausend Euro geahndet werden.</w:t>
      </w:r>
    </w:p>
    <w:p>
      <w:r>
        <w:t xml:space="preserve">(6) Verwaltungsbehörde im Sinne des § 36 Absatz 1 Nummer 1 des Gesetzes über Ordnungswidrigkeiten ist die Bundesnetzagentur.</w:t>
      </w:r>
    </w:p>
    <w:p>
      <w:r>
        <w:rPr>
          <w:color w:val="555555"/>
          <w:sz w:val="17"/>
        </w:rPr>
        <w:t xml:space="preserve">Zitiervorschlag: § 10 DGG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https://recht.nulegal.eu/gesetze/DGG/10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