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DGBankUmwG — Erste Hauptversammlung</w:t>
      </w:r>
    </w:p>
    <w:p>
      <w:r>
        <w:rPr>
          <w:color w:val="555555"/>
          <w:sz w:val="18"/>
        </w:rPr>
        <w:t xml:space="preserve">DG Bank-Umwandlungsgesetz</w:t>
      </w:r>
    </w:p>
    <w:p>
      <w:r>
        <w:rPr>
          <w:color w:val="555555"/>
          <w:sz w:val="18"/>
        </w:rPr>
        <w:t xml:space="preserve">Stand: 10.06.2019 (konsolidierte Textfassung, kein amtliches Inkrafttretensdatum)</w:t>
      </w:r>
    </w:p>
    <w:p>
      <w:r>
        <w:t xml:space="preserve">Der Vorstand beruft die erste Hauptversammlung innerhalb von drei Monaten nach Inkrafttreten dieses Gesetzes ein. Diese Hauptversammlung wählt die Mitglieder des Aufsichtsrats, soweit sie nicht kraft Satzung entsandt werden und nicht als Aufsichtsratsmitglieder der Arbeitnehmer nach dem Mitbestimmungsgesetz zu wählen sind.</w:t>
      </w:r>
    </w:p>
    <w:p>
      <w:r>
        <w:rPr>
          <w:color w:val="555555"/>
          <w:sz w:val="17"/>
        </w:rPr>
        <w:t xml:space="preserve">Zitiervorschlag: § 8 DGBankUmwG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https://recht.nulegal.eu/gesetze/DGBankUmwG/8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DGBankUmwG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