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DGBankSa</w:t>
      </w:r>
    </w:p>
    <w:p>
      <w:r>
        <w:rPr>
          <w:color w:val="555555"/>
          <w:sz w:val="18"/>
        </w:rPr>
        <w:t xml:space="preserve">Satzung DG BANK AG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pPr>
        <w:ind w:left="420"/>
      </w:pPr>
      <w:r>
        <w:t xml:space="preserve">1. Der Vorstand führt die Geschäfte der Aktiengesellschaft nach Maßgabe der Gesetze, der Satzung und der Geschäftsordnung des Vorstandes.</w:t>
      </w:r>
    </w:p>
    <w:p>
      <w:pPr>
        <w:ind w:left="420"/>
      </w:pPr>
      <w:r>
        <w:t xml:space="preserve">2. Der Vorstand gibt sich mit Zustimmung des Aufsichtsrates eine Geschäftsordnung.</w:t>
      </w:r>
    </w:p>
    <w:p>
      <w:r>
        <w:rPr>
          <w:color w:val="555555"/>
          <w:sz w:val="17"/>
        </w:rPr>
        <w:t xml:space="preserve">Zitiervorschlag: § 8 DGBankSa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https://recht.nulegal.eu/gesetze/DGBankSa/8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