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DGBankSa</w:t>
      </w:r>
    </w:p>
    <w:p>
      <w:r>
        <w:rPr>
          <w:color w:val="555555"/>
          <w:sz w:val="18"/>
        </w:rPr>
        <w:t xml:space="preserve">Satzung DG BANK 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Die Übertragung von Namensaktien und von aus den Namensaktien hervorgehenden Bezugsrechten bedarf der vorherigen Zustimmung der Hauptversammlung mit einer Mehrheit von drei Viertel des stimmberechtigten vertretenen Kapitals.</w:t>
      </w:r>
    </w:p>
    <w:p>
      <w:pPr>
        <w:ind w:left="420"/>
      </w:pPr>
      <w:r>
        <w:t xml:space="preserve">2. Der Anspruch auf Einzelverbriefung der Aktien ist ausgeschlossen.</w:t>
      </w:r>
    </w:p>
    <w:p>
      <w:pPr>
        <w:ind w:left="420"/>
      </w:pPr>
      <w:r>
        <w:t xml:space="preserve">3. Die Form von Aktienurkunden, Zwischenscheinen sowie Gewinnanteils- und Erneuerungsscheinen setzt der Vorstand fest. Das gleiche gilt für sonst von der Aktiengesellschaft ausgegebene Wertpapiere.</w:t>
      </w:r>
    </w:p>
    <w:p>
      <w:pPr>
        <w:ind w:left="420"/>
      </w:pPr>
      <w:r>
        <w:t xml:space="preserve">4. Eintragungen im Aktienbuch sind für die Aktiengesellschaft hinsichtlich der Ausübung der Rechte aus den Namensaktien und der Anschrift der Aktionäre ausschließlich maßgebend.</w:t>
      </w:r>
    </w:p>
    <w:p>
      <w:r>
        <w:rPr>
          <w:color w:val="555555"/>
          <w:sz w:val="17"/>
        </w:rPr>
        <w:t xml:space="preserve">Zitiervorschlag: § 4 DGBankSa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https://recht.nulegal.eu/gesetze/DGBankSa/4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