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DGBankSa</w:t>
      </w:r>
    </w:p>
    <w:p>
      <w:r>
        <w:rPr>
          <w:color w:val="555555"/>
          <w:sz w:val="18"/>
        </w:rPr>
        <w:t xml:space="preserve">Satzung DG BANK 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Die Hauptversammlung beschließt über die Verwendung des sich aus dem festgestellten Jahresabschluß ergebenden Bilanzgewinns.</w:t>
      </w:r>
    </w:p>
    <w:p>
      <w:pPr>
        <w:ind w:left="420"/>
      </w:pPr>
      <w:r>
        <w:t xml:space="preserve">2. Junge Aktien aus Kapitalerhöhungen können mit Vorzügen bei der Gewinnverwendung versehen werden.</w:t>
      </w:r>
    </w:p>
    <w:p>
      <w:r>
        <w:rPr>
          <w:color w:val="555555"/>
          <w:sz w:val="17"/>
        </w:rPr>
        <w:t xml:space="preserve">Zitiervorschlag: § 28 DGBankSa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https://recht.nulegal.eu/gesetze/DGBankSa/28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DGBankSa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