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DGBankSa</w:t>
      </w:r>
    </w:p>
    <w:p>
      <w:r>
        <w:rPr>
          <w:color w:val="555555"/>
          <w:sz w:val="18"/>
        </w:rPr>
        <w:t xml:space="preserve">Satzung DG BANK 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Die Hauptversammlung findet am Sitz der Aktiengesellschaft oder an einem in Deutschland liegenden, vom Aufsichtsrat bestimmten Ort statt.</w:t>
      </w:r>
    </w:p>
    <w:p>
      <w:pPr>
        <w:ind w:left="420"/>
      </w:pPr>
      <w:r>
        <w:t xml:space="preserve">2. Die Hauptversammlung wird durch den Vorstand oder in den gesetzlich vorgeschriebenen Fällen durch den Aufsichtsrat einberufen.</w:t>
      </w:r>
    </w:p>
    <w:p>
      <w:pPr>
        <w:ind w:left="420"/>
      </w:pPr>
      <w:r>
        <w:t xml:space="preserve">3. Die Einberufung muß mindestens einen Monat vor dem Tage der Hauptversammlung unter Mitteilung der Tagesordnung bekanntgemacht werden; dabei sind der Tag der Bekanntmachung und der Tag der Hauptversammlung nicht mitzurechnen.</w:t>
      </w:r>
    </w:p>
    <w:p>
      <w:pPr>
        <w:ind w:left="420"/>
      </w:pPr>
      <w:r>
        <w:t xml:space="preserve">4. Die Hauptversammlung, die über die Entlastung von Vorstand und Aufsichtsrat, die Gewinnverwendung und - soweit erforderlich - über die Feststellung des Jahresabschlusses beschließt (ordentliche Hauptversammlung), findet innerhalb der ersten sechs Monate eines jeden Geschäftsjahres statt.</w:t>
      </w:r>
    </w:p>
    <w:p>
      <w:r>
        <w:rPr>
          <w:color w:val="555555"/>
          <w:sz w:val="17"/>
        </w:rPr>
        <w:t xml:space="preserve">Zitiervorschlag: § 20 DGBankSa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https://recht.nulegal.eu/gesetze/DGBankSa/20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