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2 DEV 2020 — (zu § 8 Absatz 1 Satz 1 und Absatz 2 Nummer 3 bis 8) Ermittlung und Berichterstattung von perfluorierten Kohlenwasserstoffen (PFC)</w:t>
      </w:r>
    </w:p>
    <w:p>
      <w:r>
        <w:rPr>
          <w:color w:val="555555"/>
          <w:sz w:val="18"/>
        </w:rPr>
        <w:t xml:space="preserve">Datenerhebungsverordnung 2020</w:t>
      </w:r>
    </w:p>
    <w:p>
      <w:r>
        <w:rPr>
          <w:color w:val="555555"/>
          <w:sz w:val="18"/>
        </w:rPr>
        <w:t xml:space="preserve">Stand: 10.06.2019 (konsolidierte Textfassung, kein amtliches Inkrafttretensdatum)</w:t>
      </w:r>
    </w:p>
    <w:p>
      <w:r>
        <w:t xml:space="preserve">(Fundstelle BGBl. I 2009, 2124 - 2125)Teil 1Bestimmung der Emissionen von Tetrafluormethan (CF4)</w:t>
      </w:r>
    </w:p>
    <w:p>
      <w:pPr>
        <w:ind w:left="420"/>
      </w:pPr>
      <w:r>
        <w:t xml:space="preserve">1. Die Gesamtemissionen von Tetrafluormethan sind nach Formel 1 zu bestimmen. Dabei sind die für jede Anlage zelltypspezifisch ermittelten Emissionsmengen ECF4, i in Abhängigkeit von der Prozessführung entweder nach Formel 2 oder nach Formel 3 zu bestimmen. Für die im Rahmen der Ermittlung der Emissionsmengen notwendigen Angaben zur Produktionsmenge in Tonnen Aluminium gilt § 10 Absatz 1 und 2 der Zuteilungsverordnung 2012 entsprechend.</w:t>
      </w:r>
    </w:p>
    <w:p>
      <w:pPr>
        <w:ind w:left="420"/>
      </w:pPr>
      <w:r>
        <w:t xml:space="preserve">2. Wurde in einem Berichtsjahr nach einem anerkannten Messverfahren ein Steigungskoeffizient für einen Zelltyp ermittelt, der höchstens eine Ungenauigkeit von 15 Prozent aufweist, ist dieser Steigungskoeffizient in Formel 2 für das betreffende Berichtsjahr und den betreffenden Zelltyp zu verwenden. Sofern nicht in jedem Jahr des Zeitraums 2005 bis 2008 eine solche Ermittlung stattfand, kann für einen Zelltyp ein Steigungskoeffizient aus einem anderen Berichtsjahr angesetzt werden, vorausgesetzt es liegt höchstens eine Ungenauigkeit von 15 Prozent vor. Sofern bei einer Ermittlung nach Satz 1 und 2 die Ungenauigkeit eines ermittelten Steigungskoeffizienten höher ist als 15 Prozent oder sofern in keinem Jahr des Zeitraums 2005 bis 2008 ein Steigungskoeffizient nach einem anerkannten Messverfahren für einen betreffenden Zelltyp ermittelt wurde, ist für das Jahr 2009 ein Steigungskoeffizient nach einem anerkannten Messverfahren für jeden Zelltyp zu bestimmen und auf alle Jahre der Datenmitteilung anzuwenden. Wenn infolge von Betriebsunterbrechungen, Prozessstörungen oder aus anderen technischen Gründen im Jahr 2009 bei der Bestimmung eines Steigungskoeffizienten die Ungenauigkeit von 15 Prozent überschritten wird, ist der jeweilige Standardfaktor aus der Tabelle in Teil 3 zu verwenden. Die Anwendung eines Standardfaktors ist zu begründen.</w:t>
      </w:r>
    </w:p>
    <w:p>
      <w:pPr>
        <w:ind w:left="420"/>
      </w:pPr>
      <w:r>
        <w:t xml:space="preserve">3. Für die in Formel 3 anzusetzenden Überspannungskoeffizienten gelten die Anforderungen nach Nummer 2 entsprechend.</w:t>
      </w:r>
    </w:p>
    <w:p>
      <w:r>
        <w:t xml:space="preserve">Teil 2Bestimmung der Emissionen von Hexafluorethan (C2F6)</w:t>
      </w:r>
    </w:p>
    <w:p>
      <w:pPr>
        <w:ind w:left="420"/>
      </w:pPr>
      <w:r>
        <w:t xml:space="preserve">1. Die Gesamtemissionen von Hexafluorethan sind nach Formel 4 zu bestimmen. Dabei sind die zelltypbezogenen Emissionsmengen von C2F6 anhand von Formel 5 zu bestimmen.</w:t>
      </w:r>
    </w:p>
    <w:p>
      <w:pPr>
        <w:ind w:left="420"/>
      </w:pPr>
      <w:r>
        <w:t xml:space="preserve">2. Für den Gewichtungsfaktor können die Standardfaktoren aus Spalte 4 der Tabelle in Teil 3 verwendet werden. Im Fall einer Messung gelten die Anforderungen unter Teil 1 Nummer 2 entsprechend.</w:t>
      </w:r>
    </w:p>
    <w:p>
      <w:r>
        <w:t xml:space="preserve">Teil 3Formeln und Tabelle</w:t>
      </w:r>
    </w:p>
    <w:p>
      <w:r>
        <w:t xml:space="preserve">Formel 1 (Gesamtemissionen von CF4)</w:t>
      </w:r>
    </w:p>
    <w:p>
      <w:r>
        <w:t xml:space="preserve">EMISCF4 = ∑i ECF4, i</w:t>
      </w:r>
    </w:p>
    <w:p>
      <w:r>
        <w:rPr>
          <w:rFonts w:ascii="Courier New" w:hAnsi="Courier New"/>
          <w:sz w:val="17"/>
        </w:rPr>
        <w:t xml:space="preserve">mit    i    Index für den Zelltyp</w:t>
      </w:r>
    </w:p>
    <w:p>
      <w:r>
        <w:rPr>
          <w:rFonts w:ascii="Courier New" w:hAnsi="Courier New"/>
          <w:sz w:val="17"/>
        </w:rPr>
        <w:t xml:space="preserve">    EMISCF4    Gesamtemissionsmenge von CF4 in kg CF4</w:t>
      </w:r>
    </w:p>
    <w:p>
      <w:r>
        <w:rPr>
          <w:rFonts w:ascii="Courier New" w:hAnsi="Courier New"/>
          <w:sz w:val="17"/>
        </w:rPr>
        <w:t xml:space="preserve">    ECF4, i    Emissionsmenge von CF4 in kg CF4 je Zelltyp i</w:t>
      </w:r>
    </w:p>
    <w:p>
      <w:r>
        <w:t xml:space="preserve">Formel 2 (Emissionsmengen von CF4 je Zelltyp über die Dauer der Anodeneffekte)</w:t>
      </w:r>
    </w:p>
    <w:p>
      <w:r>
        <w:t xml:space="preserve">ECF4, i = SCF4, i * AEMi * MPi</w:t>
      </w:r>
    </w:p>
    <w:p>
      <w:r>
        <w:rPr>
          <w:rFonts w:ascii="Courier New" w:hAnsi="Courier New"/>
          <w:sz w:val="17"/>
        </w:rPr>
        <w:t xml:space="preserve">mit    ECF4, i    Emissionsmenge CF4 für Zelltyp i in kg CF4</w:t>
      </w:r>
    </w:p>
    <w:p>
      <w:r>
        <w:rPr>
          <w:rFonts w:ascii="Courier New" w:hAnsi="Courier New"/>
          <w:sz w:val="17"/>
        </w:rPr>
        <w:t xml:space="preserve">    SCF4, i    Steigungskoeffizient für Zelltyp i in (kg CF4 / Tonne Al) / (AE-Min / Zelltag)</w:t>
      </w:r>
    </w:p>
    <w:p>
      <w:r>
        <w:rPr>
          <w:rFonts w:ascii="Courier New" w:hAnsi="Courier New"/>
          <w:sz w:val="17"/>
        </w:rPr>
        <w:t xml:space="preserve">    AEMi    Dauer des Anodeneffekts für Zelltyp i je Zelltag in AE-Min / Zelltag</w:t>
      </w:r>
    </w:p>
    <w:p>
      <w:r>
        <w:rPr>
          <w:rFonts w:ascii="Courier New" w:hAnsi="Courier New"/>
          <w:sz w:val="17"/>
        </w:rPr>
        <w:t xml:space="preserve">    MPi    Produktionsmenge in Tonnen Al für Zelltyp i</w:t>
      </w:r>
    </w:p>
    <w:p>
      <w:r>
        <w:t xml:space="preserve">Formel 3 (Emissionsmengen von CF4 je Zelltyp über die Höhe der Überspannungseffekte)</w:t>
      </w:r>
    </w:p>
    <w:p>
      <w:r>
        <w:t xml:space="preserve">ECF4, i = OVCi * AEOi * MPi / CEi * 100 %</w:t>
      </w:r>
    </w:p>
    <w:p>
      <w:r>
        <w:rPr>
          <w:rFonts w:ascii="Courier New" w:hAnsi="Courier New"/>
          <w:sz w:val="17"/>
        </w:rPr>
        <w:t xml:space="preserve">mit    ECF4, i    Emissionsmenge CF4 für Zelltyp i in kg CF4</w:t>
      </w:r>
    </w:p>
    <w:p>
      <w:r>
        <w:rPr>
          <w:rFonts w:ascii="Courier New" w:hAnsi="Courier New"/>
          <w:sz w:val="17"/>
        </w:rPr>
        <w:t xml:space="preserve">    OVCi    Überspannungskoeffizient für Zelltyp i in (kg CF4 / Tonne Al) / mV</w:t>
      </w:r>
    </w:p>
    <w:p>
      <w:r>
        <w:rPr>
          <w:rFonts w:ascii="Courier New" w:hAnsi="Courier New"/>
          <w:sz w:val="17"/>
        </w:rPr>
        <w:t xml:space="preserve">    AEOi    Anodeneffekt-Überspannung von Zelltyp i in mV</w:t>
      </w:r>
    </w:p>
    <w:p>
      <w:r>
        <w:rPr>
          <w:rFonts w:ascii="Courier New" w:hAnsi="Courier New"/>
          <w:sz w:val="17"/>
        </w:rPr>
        <w:t xml:space="preserve">    CEi    Stromeffizienz je Zelltyp der Aluminiumproduktion in Prozent (z. B. 95 %)</w:t>
      </w:r>
    </w:p>
    <w:p>
      <w:r>
        <w:rPr>
          <w:rFonts w:ascii="Courier New" w:hAnsi="Courier New"/>
          <w:sz w:val="17"/>
        </w:rPr>
        <w:t xml:space="preserve">    MPi    Produktionsmenge in Tonnen Al für Zelltyp i</w:t>
      </w:r>
    </w:p>
    <w:p>
      <w:r>
        <w:t xml:space="preserve">Formel 4 (Berechnung der Gesamtemissionen von C2F6)</w:t>
      </w:r>
    </w:p>
    <w:p>
      <w:r>
        <w:t xml:space="preserve">EMISC2F6 = ∑i EC2F6, i</w:t>
      </w:r>
    </w:p>
    <w:p>
      <w:r>
        <w:rPr>
          <w:rFonts w:ascii="Courier New" w:hAnsi="Courier New"/>
          <w:sz w:val="17"/>
        </w:rPr>
        <w:t xml:space="preserve">mit    i    Index für den Zelltyp</w:t>
      </w:r>
    </w:p>
    <w:p>
      <w:r>
        <w:rPr>
          <w:rFonts w:ascii="Courier New" w:hAnsi="Courier New"/>
          <w:sz w:val="17"/>
        </w:rPr>
        <w:t xml:space="preserve">    EMISC2F6    Gesamtemissionsmenge von C2F6 in kg C2F6</w:t>
      </w:r>
    </w:p>
    <w:p>
      <w:r>
        <w:rPr>
          <w:rFonts w:ascii="Courier New" w:hAnsi="Courier New"/>
          <w:sz w:val="17"/>
        </w:rPr>
        <w:t xml:space="preserve">    EC2F6, i    Emissionsmenge von C2F6 je Zelltyp i</w:t>
      </w:r>
    </w:p>
    <w:p>
      <w:r>
        <w:t xml:space="preserve">Formel 5 (Berechnung der Emissionsmengen von C2F6 je Zelltyp)</w:t>
      </w:r>
    </w:p>
    <w:p>
      <w:r>
        <w:t xml:space="preserve">EC2F6, i = ECF4, i * FC2F6/CF4, i</w:t>
      </w:r>
    </w:p>
    <w:p>
      <w:r>
        <w:rPr>
          <w:rFonts w:ascii="Courier New" w:hAnsi="Courier New"/>
          <w:sz w:val="17"/>
        </w:rPr>
        <w:t xml:space="preserve">mit    EC2F6, i    Emissionsmenge C2F6 für Zelltyp i gemessen in kg C2F6</w:t>
      </w:r>
    </w:p>
    <w:p>
      <w:r>
        <w:rPr>
          <w:rFonts w:ascii="Courier New" w:hAnsi="Courier New"/>
          <w:sz w:val="17"/>
        </w:rPr>
        <w:t xml:space="preserve">    ECF4, i    Emissionsmenge CF4 für Zelltyp i gemessen in kg CF4</w:t>
      </w:r>
    </w:p>
    <w:p>
      <w:r>
        <w:rPr>
          <w:rFonts w:ascii="Courier New" w:hAnsi="Courier New"/>
          <w:sz w:val="17"/>
        </w:rPr>
        <w:t xml:space="preserve">    FC2F6/CF4, i    Gewichtungsfaktor, welcher das Verhältnis von EC2F6 zu ECF4 in kg C2F6 / kg CF4 für Zelltyp i angibt</w:t>
      </w:r>
    </w:p>
    <w:p>
      <w:r>
        <w:t xml:space="preserve">Tabelle</w:t>
      </w:r>
    </w:p>
    <w:p>
      <w:r>
        <w:rPr>
          <w:rFonts w:ascii="Courier New" w:hAnsi="Courier New"/>
          <w:sz w:val="17"/>
        </w:rPr>
        <w:t xml:space="preserve">Zelltyp    Standardfaktor Steigungs- koeffizient (SCF4, i)    Standardfaktor Überspannungs- koeffizient (OVCi)    Standardfaktor Gewichtungs- faktor (FC2F6/CF4,i)</w:t>
      </w:r>
    </w:p>
    <w:p>
      <w:r>
        <w:rPr>
          <w:rFonts w:ascii="Courier New" w:hAnsi="Courier New"/>
          <w:sz w:val="17"/>
        </w:rPr>
        <w:t xml:space="preserve">Mittenbedienter Ofen mit vorgebrannten Anoden    0,143    1,16    0,121</w:t>
      </w:r>
    </w:p>
    <w:p>
      <w:r>
        <w:rPr>
          <w:rFonts w:ascii="Courier New" w:hAnsi="Courier New"/>
          <w:sz w:val="17"/>
        </w:rPr>
        <w:t xml:space="preserve">Seitenbedienter Ofen mit vorgebrannten Anoden    0,272    3,65    0,252</w:t>
      </w:r>
    </w:p>
    <w:p>
      <w:r>
        <w:rPr>
          <w:rFonts w:ascii="Courier New" w:hAnsi="Courier New"/>
          <w:sz w:val="17"/>
        </w:rPr>
        <w:t xml:space="preserve">Søderberg-Zelle mit vertikaler Anodenanordnung    0,092    n.r.[1]    0,053</w:t>
      </w:r>
    </w:p>
    <w:p>
      <w:r>
        <w:rPr>
          <w:rFonts w:ascii="Courier New" w:hAnsi="Courier New"/>
          <w:sz w:val="17"/>
        </w:rPr>
        <w:t xml:space="preserve">Søderberg-Zelle mit horizontaler Anodenanordnung    0,099    n.r.[1]    0,085</w:t>
      </w:r>
    </w:p>
    <w:p>
      <w:r>
        <w:t xml:space="preserve">1 n.r. = nicht relevant</w:t>
      </w:r>
    </w:p>
    <w:p>
      <w:r>
        <w:rPr>
          <w:color w:val="555555"/>
          <w:sz w:val="17"/>
        </w:rPr>
        <w:t xml:space="preserve">Zitiervorschlag: Anlage 2 DEV 2020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https://recht.nulegal.eu/gesetze/DEV%202020/anlage-2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