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DEV 2020 — Besondere Anforderungen an die Ermittlung und Mitteilung von Distickstoffoxid (N2O)</w:t>
      </w:r>
    </w:p>
    <w:p>
      <w:r>
        <w:rPr>
          <w:color w:val="555555"/>
          <w:sz w:val="18"/>
        </w:rPr>
        <w:t xml:space="preserve">Datenerhebungsverordnung 2020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der Ermittlung und Mitteilung von Distickstoffoxid gilt bezüglich der einzuhaltenden Mindestgenauigkeit Ebene 2 des Anhangs XIII Abschnitt 2.2. der Monitoring-Leitlinien. Für die im Rahmen der Ermittlung der Emissionsmengen notwendigen Angaben zur Produktionsmenge gilt § 10 Absatz 1 und 2 der Zuteilungsverordnung 2012 entsprechend.</w:t>
      </w:r>
    </w:p>
    <w:p>
      <w:r>
        <w:t xml:space="preserve">(2) Der Verantwortliche für die weitere Tätigkeit ist verpflichtet, zusätzlich zu den Daten nach § 7 die in Anhang XIII Abschnitt 9 Buchstabe a bis g der Monitoring-Leitlinien genannten Daten anzugeben.</w:t>
      </w:r>
    </w:p>
    <w:p>
      <w:r>
        <w:t xml:space="preserve">(3) Werden Daten zu Distickstoffoxid nach Anhang XIII Abschnitt 2.6. oder Abschnitt 6.3. der Monitoring-Leitlinien ermittelt und mitgeteilt, so hat der Verantwortliche für die weitere Tätigkeit darzulegen, auf welcher Grundlage die Ermittlung beruht und welcher Grad an Genauigkeit erzielt worden ist.</w:t>
      </w:r>
    </w:p>
    <w:p>
      <w:r>
        <w:rPr>
          <w:color w:val="555555"/>
          <w:sz w:val="17"/>
        </w:rPr>
        <w:t xml:space="preserve">Zitiervorschlag: § 9 DEV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https://recht.nulegal.eu/gesetze/DEV%202020/9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