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DEV 2020 — Besondere Anforderungen an die Ermittlung und Mitteilung von perfluorierten Kohlenwasserstoffen (PFC)</w:t>
      </w:r>
    </w:p>
    <w:p>
      <w:r>
        <w:rPr>
          <w:color w:val="555555"/>
          <w:sz w:val="18"/>
        </w:rPr>
        <w:t xml:space="preserve">Datenerhebungsverordnung 2020</w:t>
      </w:r>
    </w:p>
    <w:p>
      <w:r>
        <w:rPr>
          <w:color w:val="555555"/>
          <w:sz w:val="18"/>
        </w:rPr>
        <w:t xml:space="preserve">Stand: 10.06.2019 (konsolidierte Textfassung, kein amtliches Inkrafttretensdatum)</w:t>
      </w:r>
    </w:p>
    <w:p>
      <w:r>
        <w:t xml:space="preserve">(1) Unter den perfluorierten Kohlenwasserstoffen sind Tetrafluormethan und Hexafluorethan nach Anlage 2 zu ermitteln und die Emissionsmengen für jedes Jahr der Kalenderjahre 2005 bis 2008 mitzuteilen. Die Emissionsmengen von Tetrafluormethan und Hexafluorethan sind getrennt anzugeben. Dabei kann die Emissionsmenge von Hexafluorethan rechnerisch aus der Emissionsmenge von Tetrafluormethan ermittelt werden. Bei der Mitteilung von Tetrafluormethan und Hexafluorethan ist keine Umrechnung in Kohlenstoffdioxid-Äquivalente vorzunehmen.</w:t>
      </w:r>
    </w:p>
    <w:p>
      <w:r>
        <w:t xml:space="preserve">(2) Der Verantwortliche für eine weitere Tätigkeit ist verpflichtet, zusätzlich zu den Daten nach § 7 folgende Daten mitzuteilen:</w:t>
      </w:r>
    </w:p>
    <w:p>
      <w:pPr>
        <w:ind w:left="420"/>
      </w:pPr>
      <w:r>
        <w:t xml:space="preserve">1. die jährliche Produktionsmenge Aluminium je Zelltyp;</w:t>
      </w:r>
    </w:p>
    <w:p>
      <w:pPr>
        <w:ind w:left="420"/>
      </w:pPr>
      <w:r>
        <w:t xml:space="preserve">2. die Angabe der Zelltypen;</w:t>
      </w:r>
    </w:p>
    <w:p>
      <w:pPr>
        <w:ind w:left="420"/>
      </w:pPr>
      <w:r>
        <w:t xml:space="preserve">3. die für jede Anlage zelltypspezifisch ermittelten Steigungskoeffizienten sowie das Datum der Bestimmung bei Erfassung nach Formel 2 gemäß Anlage 2;</w:t>
      </w:r>
    </w:p>
    <w:p>
      <w:pPr>
        <w:ind w:left="420"/>
      </w:pPr>
      <w:r>
        <w:t xml:space="preserve">4. die Dauer des Anodeneffekts bei Erfassung nach Formel 2 gemäß Anlage 2; die Methode der Erfassung der Anodeneffekt-Dauer ist zu beschreiben;</w:t>
      </w:r>
    </w:p>
    <w:p>
      <w:pPr>
        <w:ind w:left="420"/>
      </w:pPr>
      <w:r>
        <w:t xml:space="preserve">5. die Überspannungskoeffizienten sowie das Datum der Bestimmung bei Erfassung nach Formel 3 gemäß Anlage 2;</w:t>
      </w:r>
    </w:p>
    <w:p>
      <w:pPr>
        <w:ind w:left="420"/>
      </w:pPr>
      <w:r>
        <w:t xml:space="preserve">6. die Werte der Anodeneffekt-Überspannung bei Erfassung nach Formel 3 gemäß Anlage 2; die Methode der Erfassung der Überspannung ist zu beschreiben;</w:t>
      </w:r>
    </w:p>
    <w:p>
      <w:pPr>
        <w:ind w:left="420"/>
      </w:pPr>
      <w:r>
        <w:t xml:space="preserve">7. die Stromeffizienz bei der Aluminiumproduktion bei Erfassung nach Formel 3 gemäß Anlage 2; die Methode der Erfassung der Stromeffizienz ist zu beschreiben;</w:t>
      </w:r>
    </w:p>
    <w:p>
      <w:pPr>
        <w:ind w:left="420"/>
      </w:pPr>
      <w:r>
        <w:t xml:space="preserve">8. die bei der Ermittlung der Emissionsmenge von Hexafluorethan nach Formel 5 verwendeten Gewichtungsfaktoren.</w:t>
      </w:r>
    </w:p>
    <w:p>
      <w:r>
        <w:rPr>
          <w:color w:val="555555"/>
          <w:sz w:val="17"/>
        </w:rPr>
        <w:t xml:space="preserve">Zitiervorschlag: § 8 DEV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https://recht.nulegal.eu/gesetze/DEV%202020/8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