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DEV 2020 — Ermittlung und Mitteilung von Daten</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(1) Der Verantwortliche für eine weitere Tätigkeit hat die durch seine Tätigkeit in den Kalenderjahren 2005 bis 2008 verursachten jährlichen Emissionen zu ermitteln und der zuständigen Behörde bis zum 31. März 2010 mitzuteilen. Bei Inbetriebnahme einer neuen Anlage im Zeitraum 2005 bis 2008 gilt die Verpflichtung nach Satz 1 ab dem Zeitpunkt der Inbetriebnahme.</w:t>
      </w:r>
    </w:p>
    <w:p>
      <w:r>
        <w:t xml:space="preserve">(2) Die Ermittlungs- und Mitteilungspflicht bezieht sich bei der jeweiligen weiteren Tätigkeit auf diejenigen Treibhausgase, die in Spalte 2 der Tabelle in Anhang I der Richtlinie 2003/87/EG aufgeführt sind.</w:t>
      </w:r>
    </w:p>
    <w:p>
      <w:r>
        <w:t xml:space="preserve">(3) Entstehen bei einer weiteren Tätigkeit Emissionen aus der Verbrennung, so sind diese nach Anhang II der Monitoring-Leitlinien zu ermitteln und mitzuteilen. Bei denjenigen weiteren Tätigkeiten, bezüglich derer die Anhänge III bis XI und XIII der Monitoring-Leitlinien oder diese Verordnung in den §§ 8 und 9 tätigkeitsspezifische Regelungen vorsehen, sind diese Regelungen neben den allgemeinen Regelungen des Anhangs I der Monitoring-Leitlinien bei der Ermittlung und Mitteilung der Emissionen zugrunde zu legen. Bei denjenigen weiteren Tätigkeiten, bezüglich derer die Monitoring-Leitlinien in den Anhängen oder diese Verordnung keine tätigkeitsspezifischen Regelungen vorsehen, sind die allgemeinen Regelungen des Anhangs I der Monitoring-Leitlinien bei der Ermittlung und Mitteilung der Emissionen zugrunde zu legen. Anhang 2 Teil I Nummer 2 des Treibhausgas-Emissionshandelsgesetzes vom 8. Juli 2004 (BGBl. I S. 1578), das zuletzt durch Artikel 9 des Gesetzes vom 11. August 2010 (BGBl. I S. 1163) geändert worden ist, gilt entsprechend.</w:t>
      </w:r>
    </w:p>
    <w:p>
      <w:r>
        <w:t xml:space="preserve">(4) Soweit in den Monitoring-Leitlinien oder in dieser Verordnung keine tätigkeitsspezifischen Anforderungen festgelegt sind oder der Verantwortliche für die weitere Tätigkeit die dort festgelegten Anforderungen nicht einhalten kann, sind die Daten mit dem im Einzelfall höchsten erreichbaren Grad an Genauigkeit und Vollständigkeit zu ermitteln und mitzuteilen. Der Verantwortliche für die weitere Tätigkeit hat in diesem Fall darzulegen, auf welcher Grundlage die Angaben beruhen und welcher Grad an Genauigkeit insofern erzielt worden ist.</w:t>
      </w:r>
    </w:p>
    <w:p>
      <w:r>
        <w:t xml:space="preserve">(5) Der Verantwortliche für eine weitere Tätigkeit ist verpflichtet, folgende Daten anzugeben:</w:t>
      </w:r>
    </w:p>
    <w:p>
      <w:pPr>
        <w:ind w:left="420"/>
      </w:pPr>
      <w:r>
        <w:t xml:space="preserve">1. die Bezeichnung der weiteren Tätigkeit;</w:t>
      </w:r>
    </w:p>
    <w:p>
      <w:pPr>
        <w:ind w:left="420"/>
      </w:pPr>
      <w:r>
        <w:t xml:space="preserve">2. eine textliche und, soweit vorhanden, bildliche Beschreibung der zu überwachenden Anlage, der dort durchgeführten Tätigkeiten und der in der Anlage erzeugten Produkte;</w:t>
      </w:r>
    </w:p>
    <w:p>
      <w:pPr>
        <w:ind w:left="420"/>
      </w:pPr>
      <w:r>
        <w:t xml:space="preserve">3. die Kapazität der Anlage für den jeweiligen Erhebungszeitraum;</w:t>
      </w:r>
    </w:p>
    <w:p>
      <w:pPr>
        <w:ind w:left="420"/>
      </w:pPr>
      <w:r>
        <w:t xml:space="preserve">4. das Datum der Inbetriebnahme der Anlage;</w:t>
      </w:r>
    </w:p>
    <w:p>
      <w:pPr>
        <w:ind w:left="420"/>
      </w:pPr>
      <w:r>
        <w:t xml:space="preserve">5. die Gesamtfeuerungswärmeleistung, unterteilt nach den einzelnen Einheiten der Anlage, soweit für die Tätigkeit in Anhang I der Richtlinie 2003/87/EG ein Schwellenwert als Feuerungswärmeleistung angegeben ist;</w:t>
      </w:r>
    </w:p>
    <w:p>
      <w:pPr>
        <w:ind w:left="420"/>
      </w:pPr>
      <w:r>
        <w:t xml:space="preserve">6. die Einstufung der weiteren Tätigkeit entsprechend der für die Anlage maßgeblichen Nummerierung im Anhang zur Verordnung über genehmigungsbedürftige Anlagen, bei abweichender Nummerierung in der immissionsschutzrechtlichen Genehmigung auch diese;</w:t>
      </w:r>
    </w:p>
    <w:p>
      <w:pPr>
        <w:ind w:left="420"/>
      </w:pPr>
      <w:r>
        <w:t xml:space="preserve">7. der NACE-Code, dem die weitere Tätigkeit zuzuordnen ist, nach Anhang I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Nr. L 393 vom 30.12.2006, S. 1);</w:t>
      </w:r>
    </w:p>
    <w:p>
      <w:pPr>
        <w:ind w:left="420"/>
      </w:pPr>
      <w:r>
        <w:t xml:space="preserve">8. die in den Monitoring-Leitlinien genannten Daten unter Anhang I Abschnitt 8 – mit Ausnahme der Absätze vor Nummer 1 – sowie Abschnitt 14 und</w:t>
      </w:r>
    </w:p>
    <w:p>
      <w:pPr>
        <w:ind w:left="420"/>
      </w:pPr>
      <w:r>
        <w:t xml:space="preserve">9. im Fall der Weiterleitung von Kuppelgasen, Synthesegasen oder Treibhausgasen an andere Anlagen Angaben, in welcher Menge und an welche Anlagen diese Gase weitergeleitet wurden; im Fall des Bezugs weitergeleiteter Kuppelgase, Synthesegase oder Treibhausgase die Angaben über Menge und Herkunft der Gase.</w:t>
      </w:r>
    </w:p>
    <w:p>
      <w:r>
        <w:rPr>
          <w:color w:val="555555"/>
          <w:sz w:val="17"/>
        </w:rPr>
        <w:t xml:space="preserve">Zitiervorschlag: § 7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