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DEV 2020 — Befreiung für gelistete Luftfahrzeugbetreiber mit privilegierten Flügen</w:t>
      </w:r>
    </w:p>
    <w:p>
      <w:r>
        <w:rPr>
          <w:color w:val="555555"/>
          <w:sz w:val="18"/>
        </w:rPr>
        <w:t xml:space="preserve">Datenerhebungsverordnung 2020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Antrag eines Luftfahrzeugbetreibers, der durch die Liste der Kommission nach Artikel 18a Absatz 3 der Richtlinie 2003/87/EG der Bundesrepublik Deutschland als zuständigem Verwaltungsmitgliedstaat zugewiesen ist, befreit die zuständige Behörde diesen Luftfahrzeugbetreiber von den Pflichten nach den §§ 4 und 5, sofern</w:t>
      </w:r>
    </w:p>
    <w:p>
      <w:pPr>
        <w:ind w:left="420"/>
      </w:pPr>
      <w:r>
        <w:t xml:space="preserve">1. der Luftfahrzeugbetreiber im Kalenderjahr 2008 nur privilegierte Flüge nach Anlage 1 durchgeführt hat oder</w:t>
      </w:r>
    </w:p>
    <w:p>
      <w:pPr>
        <w:ind w:left="420"/>
      </w:pPr>
      <w:r>
        <w:t xml:space="preserve">2. zu erwarten ist, dass der Luftfahrzeugbetreiber in den Kalenderjahren 2010 oder 2011 nur privilegierte Flüge nach Anlage 1 durchführen wird; die Befreiung gilt für das Kalenderjahr, für das zu erwarten ist, dass der Luftfahrzeugbetreiber die Voraussetzung erfüllt.</w:t>
      </w:r>
    </w:p>
    <w:p>
      <w:r>
        <w:t xml:space="preserve">(2) Im Fall des Absatzes 1 Nummer 2 hat der Antragsteller die Veränderungen gegenüber dem bisher ausgeübten Umfang oder der Art der Luftverkehrstätigkeit anzugeben, auf deren Grundlage zu erwarten ist, dass er nur privilegierte Flüge nach Anlage 1 durchführen wird.</w:t>
      </w:r>
    </w:p>
    <w:p>
      <w:r>
        <w:t xml:space="preserve">(3) Die Befreiung erlischt, wenn der Luftfahrzeugbetreiber in einem Kalenderjahr, für das die Befreiung erteilt wurde, auch Flüge durchführt, die nicht nach Anlage 1 privilegiert sind. In diesem Fall beziehen sich die Ermittlungs- und Berichtspflichten nach § 4 Absatz 5 und § 5 Absatz 1 Satz 1 jeweils auf das gesamte Kalenderjahr, in dem die Befreiung nach Satz 1 erloschen ist.</w:t>
      </w:r>
    </w:p>
    <w:p>
      <w:r>
        <w:rPr>
          <w:color w:val="555555"/>
          <w:sz w:val="17"/>
        </w:rPr>
        <w:t xml:space="preserve">Zitiervorschlag: § 6 DEV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https://recht.nulegal.eu/gesetze/DEV%202020/6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