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DEV 2020 — Ermittlung von Flugstrecke und Nutzlast, Berichterstattung sowie Erstellung des Überwachungsplans</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(1) Der Luftfahrzeugbetreiber hat die durch seine Luftverkehrstätigkeit, soweit sie nicht unter die privilegierten Flüge nach Anlage 1 fällt, in dem Kalenderjahr 2010 zurückgelegte Flugstrecke und die in diesem Jahr transportierte Nutzlast nach den Anhängen I und XV der Monitoring-Leitlinien zu ermitteln und der zuständigen Behörde bis zum 31. März 2011 darüber zu berichten. Sofern die zuständige Behörde zur Prüfung des Berichts nach Satz 1 zusätzliche Angaben benötigt, ist der Luftfahrzeugbetreiber verpflichtet, diese Angaben auf Verlangen der zuständigen Behörde innerhalb einer von der zuständigen Behörde festzusetzenden Frist zu übermitteln.</w:t>
      </w:r>
    </w:p>
    <w:p>
      <w:r>
        <w:t xml:space="preserve">(2) Zum Zweck der Ermittlung und Berichterstattung nach Absatz 1 Satz 1 hat der Luftfahrzeugbetreiber nach Anhang I und XV der Monitoring-Leitlinien einen Überwachungsplan zu erstellen und bei der zuständigen Behörde zur Genehmigung einzureichen. Sofern die in § 1 Absatz 2 Nummer 1 genannte Liste bis zum 25. Juli 2009 im Bundesanzeiger bekannt gemacht ist, ist der späteste Zeitpunkt für die Einreichung des Überwachungsplans nach Anhang XV Abschnitt 3 Absatz 2 der Monitoring-Leitlinien der 31. August 2009; ansonsten endet die Frist zur Einreichung des Überwachungsplans sechs Wochen nach der Bekanntmachung dieser Liste.</w:t>
      </w:r>
    </w:p>
    <w:p>
      <w:r>
        <w:t xml:space="preserve">(3) § 4 Absatz 2 bis 4 und 6 gilt entsprechend. § 4 Absatz 7 gilt entsprechend mit der Maßgabe, dass sich die Änderungen der Monitoring-Leitlinien auf den nach Absatz 2 Satz 2 maßgeblichen Zeitpunkt sowie auf die zurückgelegte Flugstrecke und die transportierte Nutzlast beziehen.</w:t>
      </w:r>
    </w:p>
    <w:p>
      <w:r>
        <w:t xml:space="preserve">(4) Die Pflichten nach den Absätzen 1 und 2 entfallen, wenn der Luftfahrzeugbetreiber gegenüber der zuständigen Behörde in einer unwiderruflichen, schriftlichen Erklärung auf seinen künftigen Anspruch auf kostenlose Zuteilung von Berechtigungen für die Zuteilungsperiode 2012 und für die Zuteilungsperiode 2013 bis 2020 verzichtet.</w:t>
      </w:r>
    </w:p>
    <w:p>
      <w:r>
        <w:rPr>
          <w:color w:val="555555"/>
          <w:sz w:val="17"/>
        </w:rPr>
        <w:t xml:space="preserve">Zitiervorschlag: § 5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