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DEV 2020 — Allgemeine Anforderungen an die Ermittlung von Daten und deren Berichterstattung</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(1) Luftfahrzeugbetreiber sowie Verantwortliche für eine weitere Tätigkeit sind verpflichtet, Daten und Informationen nach Maßgabe der Vorschriften dieser Verordnung zu ermitteln und mitzuteilen. Soweit die Vorschriften dieser Verordnung keine abweichenden Regelungen enthalten, müssen die Daten entsprechend den Anforderungen der Monitoring-Leitlinien ermittelt und berichtet werden.</w:t>
      </w:r>
    </w:p>
    <w:p>
      <w:r>
        <w:t xml:space="preserve">(2) Soweit Angaben die Durchführung von Berechnungen oder von Messungen voraussetzen, sind der Luftfahrzeugbetreiber sowie der Verantwortliche für eine weitere Tätigkeit verpflichtet, die angewandte Berechnungs- und Messmethode zu erläutern und die Ableitung der Angaben nachvollziehbar darzustellen. Die zugrunde liegenden Einzelnachweise sind auf Verlangen der zuständigen Behörde unverzüglich vorzulegen.</w:t>
      </w:r>
    </w:p>
    <w:p>
      <w:r>
        <w:rPr>
          <w:color w:val="555555"/>
          <w:sz w:val="17"/>
        </w:rPr>
        <w:t xml:space="preserve">Zitiervorschlag: § 3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