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DEV 2020 — Begriffsbestimmungen</w:t>
      </w:r>
    </w:p>
    <w:p>
      <w:r>
        <w:rPr>
          <w:color w:val="555555"/>
          <w:sz w:val="18"/>
        </w:rPr>
        <w:t xml:space="preserve">Datenerhebungsverordnung 2020</w:t>
      </w:r>
    </w:p>
    <w:p>
      <w:r>
        <w:rPr>
          <w:color w:val="555555"/>
          <w:sz w:val="18"/>
        </w:rPr>
        <w:t xml:space="preserve">Stand: 10.06.2019 (konsolidierte Textfassung, kein amtliches Inkrafttretensdatum)</w:t>
      </w:r>
    </w:p>
    <w:p>
      <w:r>
        <w:t xml:space="preserve">(1) Für diese Verordnung gelten folgende Begriffsbestimmungen:</w:t>
      </w:r>
    </w:p>
    <w:p>
      <w:pPr>
        <w:ind w:left="420"/>
      </w:pPr>
      <w:r>
        <w:t xml:space="preserve">1. Inbetriebnahme: die erstmalige Aufnahme des Regelbetriebes nach Abschluss des Probebetriebes;</w:t>
      </w:r>
    </w:p>
    <w:p>
      <w:pPr>
        <w:ind w:left="420"/>
      </w:pPr>
      <w:r>
        <w:t xml:space="preserve">2. Kapazität: die tatsächlich und rechtlich maximal mögliche Produktionsmenge pro Jahr;</w:t>
      </w:r>
    </w:p>
    <w:p>
      <w:pPr>
        <w:ind w:left="420"/>
      </w:pPr>
      <w:r>
        <w:t xml:space="preserve">3. Luftfahrzeugbetreiber: natürliche oder juristische Person, die ein Luftfahrzeug zu dem Zeitpunkt betreibt, zu dem eine Luftverkehrstätigkeit durchgeführt wird, oder, wenn die Identität dieser Person unbekannt ist oder vom Luftfahrzeugeigentümer nicht angegeben wird, der Eigentümer des Luftfahrzeugs;</w:t>
      </w:r>
    </w:p>
    <w:p>
      <w:pPr>
        <w:ind w:left="420"/>
      </w:pPr>
      <w:r>
        <w:t xml:space="preserve">4. Luftverkehrstätigkeit: dem Anwendungsbereich dieser Verordnung unterfallende Flüge;</w:t>
      </w:r>
    </w:p>
    <w:p>
      <w:pPr>
        <w:ind w:left="420"/>
      </w:pPr>
      <w:r>
        <w:t xml:space="preserve">5. Monitoring-Leitlinien: die Entscheidung 2007/589/EG der Kommission vom 18. Juli 2007 zur Festlegung von Leitlinien für die Überwachung und Berichterstattung betreffend Treibhausgasemissionen im Sinne der Richtlinie 2003/87/EG des Europäischen Parlaments und des Rates (Monitoring-Leitlinien) (ABl. L 229 vom 31.8.2007, S. 1), die zuletzt durch die Entscheidung 2009/399/EG (ABl. L 103 vom 23.4.2009, S. 10) geändert worden ist;</w:t>
      </w:r>
    </w:p>
    <w:p>
      <w:pPr>
        <w:ind w:left="420"/>
      </w:pPr>
      <w:r>
        <w:t xml:space="preserve">6. Probebetrieb: der zeitweilige Betrieb einer Anlage zur Prüfung ihrer Betriebstüchtigkeit entsprechend dem vorgesehenen Ablauf der Inbetriebsetzung;</w:t>
      </w:r>
    </w:p>
    <w:p>
      <w:pPr>
        <w:ind w:left="420"/>
      </w:pPr>
      <w:r>
        <w:t xml:space="preserve">7. Produktionsmenge: die Menge der pro Jahr in einer Anlage erzeugten Produkteinheiten, bezogen auf die jährliche Nettomenge verkaufsfertiger Produkte;</w:t>
      </w:r>
    </w:p>
    <w:p>
      <w:pPr>
        <w:ind w:left="420"/>
      </w:pPr>
      <w:r>
        <w:t xml:space="preserve">8. Überwachungsplan: ein Monitoringkonzept nach Anhang I Abschnitt 4.3. der Monitoring-Leitlinien;</w:t>
      </w:r>
    </w:p>
    <w:p>
      <w:pPr>
        <w:ind w:left="420"/>
      </w:pPr>
      <w:r>
        <w:t xml:space="preserve">9. Verantwortlicher für eine weitere Tätigkeit: natürliche oder juristische Person, die die unmittelbare Entscheidungsgewalt über eine weitere Tätigkeit innehat und dabei die wirtschaftlichen Risiken der Tätigkeit trägt; bei genehmigungsbedürftigen Anlagen im Sinne von § 4 Absatz 1 Satz 3 des Bundes-Immissionsschutzgesetzes ist Verantwortlicher für eine weitere Tätigkeit der Betreiber der Anlage;</w:t>
      </w:r>
    </w:p>
    <w:p>
      <w:pPr>
        <w:ind w:left="420"/>
      </w:pPr>
      <w:r>
        <w:t xml:space="preserve">10. weitere Tätigkeit: Tätigkeit im Sinne des Anhangs I der Richtlinie 2003/87/EG in ortsfesten Anlagen, soweit die Tätigkeit nicht oder nicht in diesem Umfang in Anhang 1 des Treibhausgas-Emissionshandelsgesetzes vom 8. Juli 2004 (BGBl. I S. 1578), das zuletzt durch Artikel 9 des Gesetzes vom 11. August 2010 (BGBl. I S. 1163) geändert worden ist, aufgeführt ist und soweit es sich nicht um eine Luftverkehrstätigkeit handelt.</w:t>
      </w:r>
    </w:p>
    <w:p>
      <w:r>
        <w:t xml:space="preserve">(2) Im Übrigen gelten die Begriffsbestimmungen aus Anhang I Abschnitt 2 Nummer 1 bis 5 der Monitoring-Leitlinien.</w:t>
      </w:r>
    </w:p>
    <w:p>
      <w:r>
        <w:rPr>
          <w:color w:val="555555"/>
          <w:sz w:val="17"/>
        </w:rPr>
        <w:t xml:space="preserve">Zitiervorschlag: § 2 DEV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