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DEV 2020 — Ordnungswidrigkeiten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19 Absatz 1 Nummer 4 des Treibhausgas-Emissionshandelsgesetzes vom 8. Juli 2004 (BGBl. I S. 1578), das zuletzt durch Artikel 9 des Gesetzes vom 11. August 2010 (BGBl. I S. 1163) geändert worden ist, handelt, wer vorsätzlich oder fahrlässig</w:t>
      </w:r>
    </w:p>
    <w:p>
      <w:pPr>
        <w:ind w:left="420"/>
      </w:pPr>
      <w:r>
        <w:t xml:space="preserve">1. entgegen § 4 Absatz 3 Satz 1, auch in Verbindung mit Absatz 4 Satz 2, einen Überwachungsplan nicht oder nicht rechtzeitig nachreicht,</w:t>
      </w:r>
    </w:p>
    <w:p>
      <w:pPr>
        <w:ind w:left="420"/>
      </w:pPr>
      <w:r>
        <w:t xml:space="preserve">2. entgegen § 4 Absatz 3 Satz 2, auch in Verbindung mit Absatz 4 Satz 2, eine Angabe nicht, nicht richtig, nicht vollständig oder nicht rechtzeitig übermittelt,</w:t>
      </w:r>
    </w:p>
    <w:p>
      <w:pPr>
        <w:ind w:left="420"/>
      </w:pPr>
      <w:r>
        <w:t xml:space="preserve">3. entgegen § 4 Absatz 5 Satz 1 der zuständigen Behörde nicht oder nicht rechtzeitig berichtet,</w:t>
      </w:r>
    </w:p>
    <w:p>
      <w:pPr>
        <w:ind w:left="420"/>
      </w:pPr>
      <w:r>
        <w:t xml:space="preserve">4. entgegen § 5 Absatz 1 Satz 2 eine Angabe nicht richtig oder nicht vollständig übermittelt oder</w:t>
      </w:r>
    </w:p>
    <w:p>
      <w:pPr>
        <w:ind w:left="420"/>
      </w:pPr>
      <w:r>
        <w:t xml:space="preserve">5. entgegen § 7 Absatz 1 Satz 1 in Verbindung mit § 7 Absatz 5, § 8 Absatz 2 oder § 9 Absatz 2 eine Mitteilung nicht, nicht richtig, nicht vollständig oder nicht rechtzeitig macht.</w:t>
      </w:r>
    </w:p>
    <w:p>
      <w:r>
        <w:rPr>
          <w:color w:val="555555"/>
          <w:sz w:val="17"/>
        </w:rPr>
        <w:t xml:space="preserve">Zitiervorschlag: § 12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