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DEV 2020 — Prüfung</w:t>
      </w:r>
    </w:p>
    <w:p>
      <w:r>
        <w:rPr>
          <w:color w:val="555555"/>
          <w:sz w:val="18"/>
        </w:rPr>
        <w:t xml:space="preserve">Datenerhebungsverordnung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Berichte nach den §§ 4 und 5 sowie die Datenmitteilungen nach den §§ 7 bis 9 müssen vor ihrer Abgabe von einer durch die zuständige Behörde bekannt gegebenen sachverständigen Stelle geprüft werden. Die Anforderungen nach Anhang V der Richtlinie 2003/87/EG gelten entsprechend.</w:t>
      </w:r>
    </w:p>
    <w:p>
      <w:r>
        <w:t xml:space="preserve">(2) Bei der Prüfung der Datenmitteilungen von Verantwortlichen für eine weitere Tätigkeit bei Anlagen mit Kohlendioxid-Emissionen von durchschnittlich weniger als 25 000 Tonnen pro Jahr in den Kalenderjahren 2005 bis 2008 kann die sachverständige Stelle auf eine Besichtigung der Anlage vor Ort verzichten.</w:t>
      </w:r>
    </w:p>
    <w:p>
      <w:r>
        <w:t xml:space="preserve">(3) Die zuständige Behörde macht die sachverständigen Stellen entsprechend den Vorgaben des § 5 Absatz 3 Satz 2 bis 9 des Treibhausgas-Emissionshandelsgesetzes vom 8. Juli 2004 (BGBl. I S. 1578), das zuletzt durch Artikel 9 des Gesetzes vom 11. August 2010 (BGBl. I S. 1163) geändert worden ist, bekannt.</w:t>
      </w:r>
    </w:p>
    <w:p>
      <w:r>
        <w:rPr>
          <w:color w:val="555555"/>
          <w:sz w:val="17"/>
        </w:rPr>
        <w:t xml:space="preserve">Zitiervorschlag: § 11 DEV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https://recht.nulegal.eu/gesetze/DEV%202020/11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