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DEV 2020 — Anwendungsbereich</w:t>
      </w:r>
    </w:p>
    <w:p>
      <w:r>
        <w:rPr>
          <w:color w:val="555555"/>
          <w:sz w:val="18"/>
        </w:rPr>
        <w:t xml:space="preserve">Datenerhebungsverordnung 2020</w:t>
      </w:r>
    </w:p>
    <w:p>
      <w:r>
        <w:rPr>
          <w:color w:val="555555"/>
          <w:sz w:val="18"/>
        </w:rPr>
        <w:t xml:space="preserve">Stand: 10.06.2019 (konsolidierte Textfassung, kein amtliches Inkrafttretensdatum)</w:t>
      </w:r>
    </w:p>
    <w:p>
      <w:r>
        <w:t xml:space="preserve">(1) Diese Verordnung gilt für Tätigkeiten innerhalb des sachlichen Anwendungsbereichs des Anhangs I der Richtlinie 2003/87/EG des Europäischen Parlaments und des Rates vom 13. Oktober 2003 über ein System für den Handel mit Treibhausgasemissionszertifikaten in der Gemeinschaft und zur Änderung der Richtlinie 96/61/EG des Rates (ABl. L 275 vom 25.10.2003, S. 32), die zuletzt durch die Richtlinie 2009/29/EG (ABl. L 140 vom 5.6.2009, S. 63) geändert worden ist, soweit diese Tätigkeiten nicht von Anhang 1 des Treibhausgas-Emissionshandelsgesetzes vom 8. Juli 2004 (BGBl. I S. 1578), das zuletzt durch Artikel 9 des Gesetzes vom 11. August 2010 (BGBl. I S. 1163) geändert worden ist, erfasst sind.</w:t>
      </w:r>
    </w:p>
    <w:p>
      <w:r>
        <w:t xml:space="preserve">(2) Diese Verordnung gilt abweichend von Absatz 1 für Flüge, die von einem Flugplatz abgehen oder auf einem Flugplatz enden, der sich in dem Hoheitsgebiet eines Mitgliedstaats der Europäischen Union befindet, auf das der Vertrag zur Gründung der Europäischen Gemeinschaft Anwendung findet, und die von Luftfahrzeugbetreibern durchgeführt werden, die</w:t>
      </w:r>
    </w:p>
    <w:p>
      <w:pPr>
        <w:ind w:left="420"/>
      </w:pPr>
      <w:r>
        <w:t xml:space="preserve">1. durch die nach § 27 Absatz 3 Satz 1 zweiter Halbsatz des Treibhausgas-Emissionshandelsgesetzes vom 8. Juli 2004 (BGBl. I S. 1578), das zuletzt durch Artikel 9 des Gesetzes vom 11. August 2010 (BGBl. I S. 1163) geändert worden ist, im Bundesanzeiger bekannt gemachte Liste der Kommission nach Artikel 18a Absatz 3 der Richtlinie 2003/87/EG der Bundesrepublik Deutschland als zuständigem Verwaltungsmitgliedstaat zugewiesen sind oder</w:t>
      </w:r>
    </w:p>
    <w:p>
      <w:pPr>
        <w:ind w:left="420"/>
      </w:pPr>
      <w:r>
        <w:t xml:space="preserve">2. auf dieser Liste keinem Verwaltungsmitgliedstaat zugewiesen sind, sofern sie eine gültige deutsche Betriebsgenehmigung im Sinne des Artikels 3 der Verordnung (EG) Nr. 1008/2008 des Europäischen Parlaments und des Rates vom 24. September 2008 über gemeinsame Vorschriften für die Durchführung von Luftverkehrsdiensten in der Gemeinschaft (ABl. L 293 vom 31.10.2008, S. 3) besitzen und nicht nur privilegierte Flüge nach Anlage 1 durchführen.</w:t>
      </w:r>
    </w:p>
    <w:p>
      <w:r>
        <w:t xml:space="preserve">Ist ein Luftfahrzeugbetreiber nach Satz 1 Nummer 1 der Bundesrepublik Deutschland als zuständigem Verwaltungsmitgliedstaat zugewiesen nach der Liste der Kommission nach Artikel 18a Absatz 3 der Richtlinie 2003/87/EG in der Fassung der Verordnung (EG) Nr. 748/2009 (ABl. L 219 vom 22.8.2009, S. 1), die durch die Verordnung (EU) Nr. 82/2010 (ABl. L 25 vom 29.1.2010, S. 12) geändert worden ist, und wird dieser Luftfahrzeugbetreiber durch eine neue Fassung der Verordnung (EG) Nr. 748/2009 einem anderen Verwaltungsmitgliedstaat zugewiesen, so bleibt die vorliegende Verordnung auf ihn anwendbar, bis er seine Pflichten nach § 4 hinsichtlich der Emissionen des Jahres 2010 und seine Pflichten nach § 5 erfüllt hat.</w:t>
      </w:r>
    </w:p>
    <w:p>
      <w:r>
        <w:rPr>
          <w:color w:val="555555"/>
          <w:sz w:val="17"/>
        </w:rPr>
        <w:t xml:space="preserve">Zitiervorschlag: § 1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