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DEV 2012 — Angabe von Emissionsdaten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die durch seine Tätigkeit in den Kalenderjahren 2003 und 2004 verursachten Kohlendioxid-Emissionen nach Maßgabe der Vorschriften dieser Verordnung zu ermitteln und anzugeben.</w:t>
      </w:r>
    </w:p>
    <w:p>
      <w:r>
        <w:t xml:space="preserve">(2) Soweit in den Fällen des § 7 Abs. 3 bis 6 des Zuteilungsgesetzes 2007 das Kalenderjahr 2003 bereits Teil der Basisperiode für die Zuteilungsentscheidung war, gilt die Verpflichtung nach Absatz 1 nur für das Kalenderjahr 2004.</w:t>
      </w:r>
    </w:p>
    <w:p>
      <w:r>
        <w:t xml:space="preserve">(3) Soweit eine Zuteilung für die Zuteilungsperiode 2005 bis 2007 auf der Grundlage von § 7 Abs. 12 des Zuteilungsgesetzes 2007 erfolgte, gilt die Verpflichtung nach Absatz 1 zusätzlich für die in den Kalenderjahren 2000 bis 2002 verursachten Kohlendioxid-Emissionen. Für Anlagen, deren Inbetriebnahme im Zeitraum vom 1. Januar 2000 bis zum 31. Dezember 2000 erfolgte, gilt die Verpflichtung nach Satz 1 ab dem Kalenderjahr 2001. Bei einer Inbetriebnahme nach dem 31. Dezember 2000 gilt die Verpflichtung nach Satz 1 ab dem Zeitpunkt der Inbetriebnahme; für das Jahr der Inbetriebnahme ist eine Hochrechnung der Gesamtemissionen nach Maßgabe von Anhang 8 der Zuteilungsverordnung 2007 anzugeben. Die Sätze 2 und 3 gelten bei Kapazitätserweiterungen und Kapazitätsverringerungen entsprechend.</w:t>
      </w:r>
    </w:p>
    <w:p>
      <w:r>
        <w:rPr>
          <w:color w:val="555555"/>
          <w:sz w:val="17"/>
        </w:rPr>
        <w:t xml:space="preserve">Zitiervorschlag: § 3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