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DEV 2012 — Begriffsbestimmungen</w:t>
      </w:r>
    </w:p>
    <w:p>
      <w:r>
        <w:rPr>
          <w:color w:val="555555"/>
          <w:sz w:val="18"/>
        </w:rPr>
        <w:t xml:space="preserve">Datenerhebungsverordnung 2012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nichts anderes bestimmt ist, gelten die Begriffsbestimmungen des Treibhausgas-Emissionshandelsgesetzes, des Zuteilungsgesetzes 2007 sowie der Zuteilungsverordnung 2007.</w:t>
      </w:r>
    </w:p>
    <w:p>
      <w:r>
        <w:t xml:space="preserve">(2) Im Sinne dieser Verordnung ist</w:t>
      </w:r>
    </w:p>
    <w:p>
      <w:pPr>
        <w:ind w:left="420"/>
      </w:pPr>
      <w:r>
        <w:t xml:space="preserve">1. zuständige Behörde: das Umweltbundesamt,</w:t>
      </w:r>
    </w:p>
    <w:p>
      <w:pPr>
        <w:ind w:left="420"/>
      </w:pPr>
      <w:r>
        <w:t xml:space="preserve">2. Datenmitteilung: Mitteilung des Betreibers über die nach dieser Verordnung anzugebenden Daten,</w:t>
      </w:r>
    </w:p>
    <w:p>
      <w:pPr>
        <w:ind w:left="420"/>
      </w:pPr>
      <w:r>
        <w:t xml:space="preserve">3. Gesamtbrennstoffenergie: Summe der zugeführten Brennstoffmengen multipliziert mit ihren jeweiligen unteren Heizwerten.</w:t>
      </w:r>
    </w:p>
    <w:p>
      <w:r>
        <w:rPr>
          <w:color w:val="555555"/>
          <w:sz w:val="17"/>
        </w:rPr>
        <w:t xml:space="preserve">Zitiervorschlag: § 2 DEV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https://recht.nulegal.eu/gesetze/DEV%202012/2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