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DEV 2012 — Inkrafttreten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12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