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DEV 2012 — Verifizierung der Datenmitteilung</w:t>
      </w:r>
    </w:p>
    <w:p>
      <w:r>
        <w:rPr>
          <w:color w:val="555555"/>
          <w:sz w:val="18"/>
        </w:rPr>
        <w:t xml:space="preserve">Datenerhebungsverordnung 2012</w:t>
      </w:r>
    </w:p>
    <w:p>
      <w:r>
        <w:rPr>
          <w:color w:val="555555"/>
          <w:sz w:val="18"/>
        </w:rPr>
        <w:t xml:space="preserve">Stand: 10.06.2019 (konsolidierte Textfassung, kein amtliches Inkrafttretensdatum)</w:t>
      </w:r>
    </w:p>
    <w:p>
      <w:r>
        <w:t xml:space="preserve">(1) Die Angaben in der Datenmitteilung müssen von einer sachverständigen Stelle verifiziert worden sein, die nach § 10 Abs. 1 des Treibhausgas-Emissionshandelsgesetzes vom 8. Juli 2004 (BGBl. I S. 1578), das zuletzt durch Artikel 9 des Gesetzes vom 11. August 2010 (BGBl. I S. 1163) geändert worden ist, zur Verifizierung von Angaben in Zuteilungsanträgen befugt ist.</w:t>
      </w:r>
    </w:p>
    <w:p>
      <w:r>
        <w:t xml:space="preserve">(2) Der Sachverständige hat im Rahmen der Verifizierung der Datenmitteilung die Angaben auf ihre Richtigkeit hin zu überprüfen. § 14 Abs. 3 bis 6 der Zuteilungsverordnung 2007 gilt jeweils mit der Maßgabe, dass nicht auf den Zuteilungsantrag, sondern auf die Datenmitteilung Bezug genommen wird.</w:t>
      </w:r>
    </w:p>
    <w:p>
      <w:r>
        <w:t xml:space="preserve">(3) Die zuständige Behörde kann zur Erfüllung der Pflichten nach Absatz 2 Standards für die Prüfung von Angaben sowie Anforderungen an Inhalt und Struktur des Prüfberichts festlegen. Sie gibt diese Anforderungen im Bundesanzeiger bekannt. Die sachverständige Stelle ist verpflichtet, im Prüfbericht Abweichungen von den bekannt gegebenen Anforderungen offen zu legen.</w:t>
      </w:r>
    </w:p>
    <w:p>
      <w:r>
        <w:t xml:space="preserve">(4) Bei der Verifizierung der Datenmitteilungen von Anlagen mit Kohlendioxid-Emissionen von weniger als 25 000 Tonnen im Kalenderjahr 2005 kann die sachverständige Stelle auf eine Besichtigung der Anlage vor Ort verzichten. Für die Bestimmung der Emissionsmenge gilt § 7 Abs. 3 Satz 2 entsprechend.</w:t>
      </w:r>
    </w:p>
    <w:p>
      <w:r>
        <w:rPr>
          <w:color w:val="555555"/>
          <w:sz w:val="17"/>
        </w:rPr>
        <w:t xml:space="preserve">Zitiervorschlag: § 10 DEV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https://recht.nulegal.eu/gesetze/DEV%202012/10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