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DEV 2012 — Anwendungsbereich und Zweck</w:t>
      </w:r>
    </w:p>
    <w:p>
      <w:r>
        <w:rPr>
          <w:color w:val="555555"/>
          <w:sz w:val="18"/>
        </w:rPr>
        <w:t xml:space="preserve">Datenerhebungsverordnung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innerhalb des Anwendungsbereichs des Treibhausgas-Emissionshandelsgesetzes. Sie dient der Aufstellung des nationalen Zuteilungsplans und der Vorbereitung der Zuteilungsentscheidungen für die Zuteilungsperiode 2008 bis 2012.</w:t>
      </w:r>
    </w:p>
    <w:p>
      <w:r>
        <w:t xml:space="preserve">(2) Vom Anwendungsbereich dieser Verordnung ausgenommen sind Tätigkeiten nach Anhang 1 Nr. XIII des Treibhausgas-Emissionshandelsgesetzes vom 8. Juli 2004 (BGBl. I S. 1578), das zuletzt durch Artikel 9 des Gesetzes vom 11. August 2010 (BGBl. I S. 1163) geändert worden ist, soweit die Anlagen zum Brennen keramischer Erzeugnisse eine Produktionskapazität von weniger als 75 Tonnen pro Tag haben.</w:t>
      </w:r>
    </w:p>
    <w:p>
      <w:r>
        <w:rPr>
          <w:color w:val="555555"/>
          <w:sz w:val="17"/>
        </w:rPr>
        <w:t xml:space="preserve">Zitiervorschlag: § 1 DEV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