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DEFG — Jahresrechnung</w:t>
      </w:r>
    </w:p>
    <w:p>
      <w:r>
        <w:rPr>
          <w:color w:val="555555"/>
          <w:sz w:val="18"/>
        </w:rPr>
        <w:t xml:space="preserve">Gesetz über die Errichtung eines Fonds "Deutsche Einheit"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Bundesminister der Finanzen stellt am Schluß eines jeden Rechnungsjahres die Jahresrechnung für den Fonds auf und fügt sie als Anhang der Haushaltsrechnung des Bundes bei.</w:t>
      </w:r>
    </w:p>
    <w:p>
      <w:r>
        <w:t xml:space="preserve">(2) Die Jahresrechnung muß in übersichtlicher Weise den Bestand des Sondervermögens einschließlich der Forderungen und Verbindlichkeiten erkennen lassen sowie die Einnahmen und Ausgaben nachweisen.</w:t>
      </w:r>
    </w:p>
    <w:p>
      <w:r>
        <w:rPr>
          <w:color w:val="555555"/>
          <w:sz w:val="17"/>
        </w:rPr>
        <w:t xml:space="preserve">Zitiervorschlag: § 8 DEFG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https://recht.nulegal.eu/gesetze/DEFG/8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