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DEFG — Vermögenstrennung, Bundeshaftung</w:t>
      </w:r>
    </w:p>
    <w:p>
      <w:r>
        <w:rPr>
          <w:color w:val="555555"/>
          <w:sz w:val="18"/>
        </w:rPr>
        <w:t xml:space="preserve">Gesetz über die Errichtung eines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Fonds ist von dem übrigen Vermögen des Bundes, seinen Rechten und Verbindlichkeiten getrennt zu halten.</w:t>
      </w:r>
    </w:p>
    <w:p>
      <w:r>
        <w:t xml:space="preserve">(2) Für die Verbindlichkeiten des Fonds haftet der Bund.</w:t>
      </w:r>
    </w:p>
    <w:p>
      <w:r>
        <w:rPr>
          <w:color w:val="555555"/>
          <w:sz w:val="17"/>
        </w:rPr>
        <w:t xml:space="preserve">Zitiervorschlag: § 4 DEFG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